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91F08" w14:textId="305B7FE1" w:rsidR="003E31A3" w:rsidRPr="006F0EE9" w:rsidRDefault="005963CC" w:rsidP="00DE6327">
      <w:pPr>
        <w:pStyle w:val="Heading1"/>
        <w:spacing w:before="0" w:line="360" w:lineRule="auto"/>
        <w:jc w:val="center"/>
        <w:rPr>
          <w:rFonts w:ascii="Arial" w:eastAsiaTheme="minorEastAsia" w:hAnsi="Arial" w:cs="Arial"/>
          <w:b/>
          <w:sz w:val="28"/>
          <w:szCs w:val="28"/>
          <w:lang w:val="en-GB"/>
        </w:rPr>
      </w:pPr>
      <w:r w:rsidRPr="006F0EE9">
        <w:rPr>
          <w:rFonts w:ascii="Arial" w:eastAsiaTheme="minorEastAsia" w:hAnsi="Arial" w:cs="Arial"/>
          <w:b/>
          <w:sz w:val="28"/>
          <w:szCs w:val="28"/>
          <w:lang w:val="en-GB"/>
        </w:rPr>
        <w:t>GENDER PAY GAP REPORT</w:t>
      </w:r>
      <w:r w:rsidR="003F280E" w:rsidRPr="006F0EE9">
        <w:rPr>
          <w:rFonts w:ascii="Arial" w:eastAsiaTheme="minorEastAsia" w:hAnsi="Arial" w:cs="Arial"/>
          <w:b/>
          <w:sz w:val="28"/>
          <w:szCs w:val="28"/>
          <w:lang w:val="en-GB"/>
        </w:rPr>
        <w:t xml:space="preserve"> – </w:t>
      </w:r>
      <w:r w:rsidR="001E04DC">
        <w:rPr>
          <w:rFonts w:ascii="Arial" w:eastAsiaTheme="minorEastAsia" w:hAnsi="Arial" w:cs="Arial"/>
          <w:b/>
          <w:sz w:val="28"/>
          <w:szCs w:val="28"/>
          <w:lang w:val="en-GB"/>
        </w:rPr>
        <w:t xml:space="preserve">For </w:t>
      </w:r>
      <w:r w:rsidR="003F280E" w:rsidRPr="006F0EE9">
        <w:rPr>
          <w:rFonts w:ascii="Arial" w:eastAsiaTheme="minorEastAsia" w:hAnsi="Arial" w:cs="Arial"/>
          <w:b/>
          <w:sz w:val="28"/>
          <w:szCs w:val="28"/>
          <w:lang w:val="en-GB"/>
        </w:rPr>
        <w:t xml:space="preserve">5 April </w:t>
      </w:r>
      <w:r w:rsidRPr="006F0EE9">
        <w:rPr>
          <w:rFonts w:ascii="Arial" w:eastAsiaTheme="minorEastAsia" w:hAnsi="Arial" w:cs="Arial"/>
          <w:b/>
          <w:sz w:val="28"/>
          <w:szCs w:val="28"/>
          <w:lang w:val="en-GB"/>
        </w:rPr>
        <w:t>20</w:t>
      </w:r>
      <w:r w:rsidR="005023CC" w:rsidRPr="006F0EE9">
        <w:rPr>
          <w:rFonts w:ascii="Arial" w:eastAsiaTheme="minorEastAsia" w:hAnsi="Arial" w:cs="Arial"/>
          <w:b/>
          <w:sz w:val="28"/>
          <w:szCs w:val="28"/>
          <w:lang w:val="en-GB"/>
        </w:rPr>
        <w:t>2</w:t>
      </w:r>
      <w:r w:rsidR="00D44C78" w:rsidRPr="006F0EE9">
        <w:rPr>
          <w:rFonts w:ascii="Arial" w:eastAsiaTheme="minorEastAsia" w:hAnsi="Arial" w:cs="Arial"/>
          <w:b/>
          <w:sz w:val="28"/>
          <w:szCs w:val="28"/>
          <w:lang w:val="en-GB"/>
        </w:rPr>
        <w:t>4</w:t>
      </w:r>
    </w:p>
    <w:p w14:paraId="20885A84" w14:textId="77777777" w:rsidR="00E1750D" w:rsidRPr="006F0EE9" w:rsidRDefault="00B71EB6" w:rsidP="0055646E">
      <w:pPr>
        <w:pStyle w:val="Heading2"/>
        <w:rPr>
          <w:rFonts w:ascii="Arial" w:eastAsiaTheme="minorEastAsia" w:hAnsi="Arial" w:cs="Arial"/>
          <w:b/>
          <w:bCs/>
          <w:sz w:val="24"/>
          <w:szCs w:val="24"/>
          <w:lang w:val="en-GB"/>
        </w:rPr>
      </w:pPr>
      <w:bookmarkStart w:id="0" w:name="_Hlk98430780"/>
      <w:r w:rsidRPr="006F0EE9">
        <w:rPr>
          <w:rFonts w:ascii="Arial" w:eastAsiaTheme="minorEastAsia" w:hAnsi="Arial" w:cs="Arial"/>
          <w:b/>
          <w:bCs/>
          <w:sz w:val="24"/>
          <w:szCs w:val="24"/>
          <w:lang w:val="en-GB"/>
        </w:rPr>
        <w:t>Background</w:t>
      </w:r>
    </w:p>
    <w:p w14:paraId="55491131" w14:textId="77777777" w:rsidR="000A2507" w:rsidRPr="006F0EE9" w:rsidRDefault="000A2507" w:rsidP="000A2507">
      <w:pPr>
        <w:spacing w:after="0" w:line="276" w:lineRule="auto"/>
        <w:jc w:val="both"/>
        <w:rPr>
          <w:rFonts w:ascii="Arial" w:hAnsi="Arial" w:cs="Arial"/>
        </w:rPr>
      </w:pPr>
    </w:p>
    <w:p w14:paraId="3B38CC8E" w14:textId="53BCDFED" w:rsidR="002B2602" w:rsidRPr="006F0EE9" w:rsidRDefault="000A2507" w:rsidP="002B2602">
      <w:pPr>
        <w:spacing w:after="0" w:line="276" w:lineRule="auto"/>
        <w:jc w:val="both"/>
        <w:rPr>
          <w:rFonts w:ascii="Arial" w:hAnsi="Arial" w:cs="Arial"/>
        </w:rPr>
      </w:pPr>
      <w:r w:rsidRPr="006F0EE9">
        <w:rPr>
          <w:rFonts w:ascii="Arial" w:hAnsi="Arial" w:cs="Arial"/>
        </w:rPr>
        <w:t xml:space="preserve">IRC UK has calculated its gender pay gap </w:t>
      </w:r>
      <w:r w:rsidR="00B36F18">
        <w:rPr>
          <w:rFonts w:ascii="Arial" w:hAnsi="Arial" w:cs="Arial"/>
        </w:rPr>
        <w:t xml:space="preserve">for April 2024 </w:t>
      </w:r>
      <w:r w:rsidRPr="006F0EE9">
        <w:rPr>
          <w:rFonts w:ascii="Arial" w:hAnsi="Arial" w:cs="Arial"/>
        </w:rPr>
        <w:t xml:space="preserve">using the standard methodologies in the </w:t>
      </w:r>
      <w:hyperlink r:id="rId8" w:history="1">
        <w:r w:rsidRPr="006F0EE9">
          <w:rPr>
            <w:rStyle w:val="Hyperlink"/>
            <w:rFonts w:ascii="Arial" w:hAnsi="Arial" w:cs="Arial"/>
          </w:rPr>
          <w:t>Equality Act 2010 (Gender Pay Gap Information) Regulations 2017.</w:t>
        </w:r>
      </w:hyperlink>
      <w:r w:rsidRPr="006F0EE9">
        <w:rPr>
          <w:rFonts w:ascii="Arial" w:hAnsi="Arial" w:cs="Arial"/>
        </w:rPr>
        <w:t xml:space="preserve"> A bonus pay gap has not been calculated as these are rarely awarded at IRC UK, even on a discretionary basis.</w:t>
      </w:r>
    </w:p>
    <w:p w14:paraId="187B1CE3" w14:textId="40975F14" w:rsidR="00D21531" w:rsidRPr="006F0EE9" w:rsidRDefault="00D21531" w:rsidP="00BE2C21">
      <w:pPr>
        <w:spacing w:after="0" w:line="276" w:lineRule="auto"/>
        <w:jc w:val="center"/>
        <w:rPr>
          <w:rFonts w:ascii="Arial" w:eastAsiaTheme="minorEastAsia" w:hAnsi="Arial" w:cs="Arial"/>
          <w:lang w:val="en-GB"/>
        </w:rPr>
      </w:pPr>
    </w:p>
    <w:p w14:paraId="009CDCF4" w14:textId="2161D3DD" w:rsidR="006F0EE9" w:rsidRPr="00B36F18" w:rsidRDefault="00FF67EA" w:rsidP="00B36F18">
      <w:pPr>
        <w:pStyle w:val="Heading2"/>
        <w:rPr>
          <w:rFonts w:ascii="Arial" w:hAnsi="Arial" w:cs="Arial"/>
          <w:b/>
          <w:bCs/>
          <w:sz w:val="24"/>
          <w:szCs w:val="24"/>
          <w:lang w:val="en-GB"/>
        </w:rPr>
      </w:pPr>
      <w:r w:rsidRPr="006F0EE9">
        <w:rPr>
          <w:rFonts w:ascii="Arial" w:hAnsi="Arial" w:cs="Arial"/>
          <w:b/>
          <w:bCs/>
          <w:sz w:val="24"/>
          <w:szCs w:val="24"/>
          <w:lang w:val="en-GB"/>
        </w:rPr>
        <w:t>Finding</w:t>
      </w:r>
      <w:r w:rsidR="00FE0481" w:rsidRPr="006F0EE9">
        <w:rPr>
          <w:rFonts w:ascii="Arial" w:hAnsi="Arial" w:cs="Arial"/>
          <w:b/>
          <w:bCs/>
          <w:sz w:val="24"/>
          <w:szCs w:val="24"/>
          <w:lang w:val="en-GB"/>
        </w:rPr>
        <w:t>s</w:t>
      </w:r>
    </w:p>
    <w:p w14:paraId="1F12BCE2" w14:textId="2CE4FA34" w:rsidR="006F0EE9" w:rsidRPr="006F0EE9" w:rsidRDefault="000A2507" w:rsidP="00B36F18">
      <w:pPr>
        <w:spacing w:before="160"/>
        <w:jc w:val="both"/>
        <w:rPr>
          <w:rFonts w:ascii="Arial" w:hAnsi="Arial" w:cs="Arial"/>
          <w:b/>
          <w:bCs/>
          <w:u w:val="single"/>
          <w:lang w:val="en-GB"/>
        </w:rPr>
      </w:pPr>
      <w:r w:rsidRPr="006F0EE9">
        <w:rPr>
          <w:rFonts w:ascii="Arial" w:hAnsi="Arial" w:cs="Arial"/>
          <w:b/>
          <w:bCs/>
          <w:u w:val="single"/>
          <w:lang w:val="en-GB"/>
        </w:rPr>
        <w:t xml:space="preserve">Workforce </w:t>
      </w:r>
    </w:p>
    <w:p w14:paraId="04258EAB" w14:textId="1B63E461" w:rsidR="000A2507" w:rsidRPr="006F0EE9" w:rsidRDefault="02C5EFDE" w:rsidP="3220EBB2">
      <w:pPr>
        <w:spacing w:after="0" w:line="276" w:lineRule="auto"/>
        <w:jc w:val="both"/>
        <w:rPr>
          <w:rFonts w:ascii="Arial" w:eastAsiaTheme="minorEastAsia" w:hAnsi="Arial" w:cs="Arial"/>
          <w:lang w:val="en-GB"/>
        </w:rPr>
      </w:pPr>
      <w:r w:rsidRPr="006F0EE9">
        <w:rPr>
          <w:rFonts w:ascii="Arial" w:eastAsiaTheme="minorEastAsia" w:hAnsi="Arial" w:cs="Arial"/>
          <w:lang w:val="en-GB"/>
        </w:rPr>
        <w:t xml:space="preserve">This gender pay gap report is for the </w:t>
      </w:r>
      <w:r w:rsidRPr="006F0EE9">
        <w:rPr>
          <w:rFonts w:ascii="Arial" w:eastAsiaTheme="minorEastAsia" w:hAnsi="Arial" w:cs="Arial"/>
          <w:b/>
          <w:bCs/>
          <w:lang w:val="en-GB"/>
        </w:rPr>
        <w:t>snapshot date of 5 April 2024</w:t>
      </w:r>
      <w:r w:rsidRPr="006F0EE9">
        <w:rPr>
          <w:rFonts w:ascii="Arial" w:eastAsiaTheme="minorEastAsia" w:hAnsi="Arial" w:cs="Arial"/>
          <w:lang w:val="en-GB"/>
        </w:rPr>
        <w:t>. At this time</w:t>
      </w:r>
      <w:r w:rsidR="00B36F18">
        <w:rPr>
          <w:rFonts w:ascii="Arial" w:eastAsiaTheme="minorEastAsia" w:hAnsi="Arial" w:cs="Arial"/>
          <w:lang w:val="en-GB"/>
        </w:rPr>
        <w:t>,</w:t>
      </w:r>
      <w:r w:rsidRPr="006F0EE9">
        <w:rPr>
          <w:rFonts w:ascii="Arial" w:eastAsiaTheme="minorEastAsia" w:hAnsi="Arial" w:cs="Arial"/>
          <w:lang w:val="en-GB"/>
        </w:rPr>
        <w:t xml:space="preserve"> IRC UK had </w:t>
      </w:r>
      <w:r w:rsidRPr="006F0EE9">
        <w:rPr>
          <w:rFonts w:ascii="Arial" w:eastAsiaTheme="minorEastAsia" w:hAnsi="Arial" w:cs="Arial"/>
          <w:b/>
          <w:bCs/>
          <w:lang w:val="en-GB"/>
        </w:rPr>
        <w:t>263 employees</w:t>
      </w:r>
      <w:r w:rsidR="00B36F18">
        <w:rPr>
          <w:rFonts w:ascii="Arial" w:eastAsiaTheme="minorEastAsia" w:hAnsi="Arial" w:cs="Arial"/>
          <w:b/>
          <w:bCs/>
          <w:lang w:val="en-GB"/>
        </w:rPr>
        <w:t>,</w:t>
      </w:r>
      <w:r w:rsidRPr="006F0EE9">
        <w:rPr>
          <w:rFonts w:ascii="Arial" w:eastAsiaTheme="minorEastAsia" w:hAnsi="Arial" w:cs="Arial"/>
          <w:lang w:val="en-GB"/>
        </w:rPr>
        <w:t xml:space="preserve"> of which </w:t>
      </w:r>
      <w:r w:rsidRPr="006F0EE9">
        <w:rPr>
          <w:rFonts w:ascii="Arial" w:eastAsiaTheme="minorEastAsia" w:hAnsi="Arial" w:cs="Arial"/>
          <w:b/>
          <w:bCs/>
          <w:lang w:val="en-GB"/>
        </w:rPr>
        <w:t xml:space="preserve">196 were women and 67 </w:t>
      </w:r>
      <w:r w:rsidR="00B36F18">
        <w:rPr>
          <w:rFonts w:ascii="Arial" w:eastAsiaTheme="minorEastAsia" w:hAnsi="Arial" w:cs="Arial"/>
          <w:b/>
          <w:bCs/>
          <w:lang w:val="en-GB"/>
        </w:rPr>
        <w:t xml:space="preserve">were </w:t>
      </w:r>
      <w:r w:rsidRPr="006F0EE9">
        <w:rPr>
          <w:rFonts w:ascii="Arial" w:eastAsiaTheme="minorEastAsia" w:hAnsi="Arial" w:cs="Arial"/>
          <w:b/>
          <w:bCs/>
          <w:lang w:val="en-GB"/>
        </w:rPr>
        <w:t>men</w:t>
      </w:r>
      <w:r w:rsidRPr="006F0EE9">
        <w:rPr>
          <w:rFonts w:ascii="Arial" w:eastAsiaTheme="minorEastAsia" w:hAnsi="Arial" w:cs="Arial"/>
          <w:lang w:val="en-GB"/>
        </w:rPr>
        <w:t xml:space="preserve">. </w:t>
      </w:r>
    </w:p>
    <w:p w14:paraId="46F6BA7D" w14:textId="77777777" w:rsidR="004531B1" w:rsidRPr="006F0EE9" w:rsidRDefault="004531B1" w:rsidP="3220EBB2">
      <w:pPr>
        <w:spacing w:after="0" w:line="276" w:lineRule="auto"/>
        <w:jc w:val="both"/>
        <w:rPr>
          <w:rFonts w:ascii="Arial" w:eastAsiaTheme="minorEastAsia" w:hAnsi="Arial" w:cs="Arial"/>
          <w:lang w:val="en-GB"/>
        </w:rPr>
      </w:pPr>
    </w:p>
    <w:p w14:paraId="7E4FDA52" w14:textId="58778761" w:rsidR="003E5137" w:rsidRPr="006F0EE9" w:rsidRDefault="003E5137" w:rsidP="58BCFB71">
      <w:pPr>
        <w:spacing w:after="0" w:line="276" w:lineRule="auto"/>
        <w:jc w:val="both"/>
        <w:rPr>
          <w:rFonts w:ascii="Arial" w:eastAsiaTheme="minorEastAsia" w:hAnsi="Arial" w:cs="Arial"/>
          <w:lang w:val="en-GB"/>
        </w:rPr>
      </w:pPr>
      <w:r w:rsidRPr="006F0EE9">
        <w:rPr>
          <w:rFonts w:ascii="Arial" w:hAnsi="Arial" w:cs="Arial"/>
          <w:noProof/>
        </w:rPr>
        <w:drawing>
          <wp:inline distT="0" distB="0" distL="0" distR="0" wp14:anchorId="7C917D5C" wp14:editId="24CEFD21">
            <wp:extent cx="5943600" cy="2916936"/>
            <wp:effectExtent l="0" t="0" r="0" b="17145"/>
            <wp:docPr id="6" name="Chart 6">
              <a:extLst xmlns:a="http://schemas.openxmlformats.org/drawingml/2006/main">
                <a:ext uri="{FF2B5EF4-FFF2-40B4-BE49-F238E27FC236}">
                  <a16:creationId xmlns:a16="http://schemas.microsoft.com/office/drawing/2014/main" id="{6E69DE9F-233B-C869-FB37-7279CE2716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D6DA61" w14:textId="77777777" w:rsidR="00B36F18" w:rsidRPr="006F0EE9" w:rsidRDefault="00B36F18" w:rsidP="000A2507">
      <w:pPr>
        <w:spacing w:after="0" w:line="276" w:lineRule="auto"/>
        <w:jc w:val="both"/>
        <w:rPr>
          <w:rFonts w:ascii="Arial" w:eastAsiaTheme="minorEastAsia" w:hAnsi="Arial" w:cs="Arial"/>
          <w:b/>
          <w:bCs/>
          <w:u w:val="single"/>
          <w:lang w:val="en-GB"/>
        </w:rPr>
      </w:pPr>
    </w:p>
    <w:p w14:paraId="183E0707" w14:textId="52022020" w:rsidR="000A2507" w:rsidRPr="006F0EE9" w:rsidRDefault="000A2507" w:rsidP="000A2507">
      <w:pPr>
        <w:spacing w:after="0" w:line="276" w:lineRule="auto"/>
        <w:jc w:val="both"/>
        <w:rPr>
          <w:rFonts w:ascii="Arial" w:eastAsiaTheme="minorEastAsia" w:hAnsi="Arial" w:cs="Arial"/>
          <w:b/>
          <w:bCs/>
          <w:u w:val="single"/>
          <w:lang w:val="en-GB"/>
        </w:rPr>
      </w:pPr>
      <w:r w:rsidRPr="006F0EE9">
        <w:rPr>
          <w:rFonts w:ascii="Arial" w:eastAsiaTheme="minorEastAsia" w:hAnsi="Arial" w:cs="Arial"/>
          <w:b/>
          <w:bCs/>
          <w:u w:val="single"/>
          <w:lang w:val="en-GB"/>
        </w:rPr>
        <w:t>Pay quartiles</w:t>
      </w:r>
    </w:p>
    <w:p w14:paraId="1EA0664C" w14:textId="77777777" w:rsidR="000A2507" w:rsidRPr="006F0EE9" w:rsidRDefault="000A2507" w:rsidP="000A2507">
      <w:pPr>
        <w:spacing w:after="0" w:line="276" w:lineRule="auto"/>
        <w:jc w:val="both"/>
        <w:rPr>
          <w:rFonts w:ascii="Arial" w:eastAsiaTheme="minorEastAsia" w:hAnsi="Arial" w:cs="Arial"/>
          <w:b/>
          <w:bCs/>
          <w:lang w:val="en-GB"/>
        </w:rPr>
      </w:pPr>
    </w:p>
    <w:p w14:paraId="16EBB501" w14:textId="72A8843E" w:rsidR="000A2507" w:rsidRPr="006F0EE9" w:rsidRDefault="000A2507" w:rsidP="00D44C78">
      <w:pPr>
        <w:spacing w:after="0" w:line="276" w:lineRule="auto"/>
        <w:jc w:val="both"/>
        <w:rPr>
          <w:rFonts w:ascii="Arial" w:hAnsi="Arial" w:cs="Arial"/>
        </w:rPr>
      </w:pPr>
      <w:r w:rsidRPr="006F0EE9">
        <w:rPr>
          <w:rFonts w:ascii="Arial" w:hAnsi="Arial" w:cs="Arial"/>
        </w:rPr>
        <w:t xml:space="preserve">This table shows our workforce divided into four equal-sized groups based on hourly pay rate. </w:t>
      </w:r>
    </w:p>
    <w:tbl>
      <w:tblPr>
        <w:tblW w:w="9612" w:type="dxa"/>
        <w:tblBorders>
          <w:top w:val="single" w:sz="6" w:space="0" w:color="ABABAB"/>
          <w:left w:val="single" w:sz="6" w:space="0" w:color="ABABAB"/>
          <w:bottom w:val="single" w:sz="6" w:space="0" w:color="ABABAB"/>
          <w:right w:val="single" w:sz="6" w:space="0" w:color="ABABAB"/>
        </w:tblBorders>
        <w:tblLook w:val="04A0" w:firstRow="1" w:lastRow="0" w:firstColumn="1" w:lastColumn="0" w:noHBand="0" w:noVBand="1"/>
      </w:tblPr>
      <w:tblGrid>
        <w:gridCol w:w="1402"/>
        <w:gridCol w:w="1140"/>
        <w:gridCol w:w="1305"/>
        <w:gridCol w:w="5765"/>
      </w:tblGrid>
      <w:tr w:rsidR="000A2507" w:rsidRPr="006F0EE9" w14:paraId="6732CB18" w14:textId="77777777">
        <w:trPr>
          <w:trHeight w:val="278"/>
          <w:tblHeader/>
        </w:trPr>
        <w:tc>
          <w:tcPr>
            <w:tcW w:w="9612" w:type="dxa"/>
            <w:gridSpan w:val="4"/>
            <w:tcBorders>
              <w:top w:val="outset" w:sz="6" w:space="0" w:color="auto"/>
              <w:left w:val="outset" w:sz="6" w:space="0" w:color="auto"/>
              <w:bottom w:val="outset" w:sz="6" w:space="0" w:color="auto"/>
              <w:right w:val="outset" w:sz="6" w:space="0" w:color="auto"/>
            </w:tcBorders>
            <w:tcMar>
              <w:top w:w="180" w:type="dxa"/>
              <w:left w:w="180" w:type="dxa"/>
              <w:bottom w:w="180" w:type="dxa"/>
              <w:right w:w="180" w:type="dxa"/>
            </w:tcMar>
            <w:vAlign w:val="center"/>
            <w:hideMark/>
          </w:tcPr>
          <w:p w14:paraId="6B8BA481" w14:textId="77777777" w:rsidR="000A2507" w:rsidRPr="006F0EE9" w:rsidRDefault="000A2507">
            <w:pPr>
              <w:spacing w:after="0" w:line="276" w:lineRule="auto"/>
              <w:jc w:val="both"/>
              <w:rPr>
                <w:rFonts w:ascii="Arial" w:eastAsia="Times New Roman" w:hAnsi="Arial" w:cs="Arial"/>
                <w:b/>
                <w:bCs/>
                <w:lang w:val="en-GB"/>
              </w:rPr>
            </w:pPr>
            <w:r w:rsidRPr="006F0EE9">
              <w:rPr>
                <w:rFonts w:ascii="Arial" w:eastAsia="Times New Roman" w:hAnsi="Arial" w:cs="Arial"/>
                <w:b/>
                <w:bCs/>
                <w:lang w:val="en-GB"/>
              </w:rPr>
              <w:t xml:space="preserve">Pay quartiles by gender </w:t>
            </w:r>
          </w:p>
        </w:tc>
      </w:tr>
      <w:tr w:rsidR="000A2507" w:rsidRPr="006F0EE9" w14:paraId="6C0C8289" w14:textId="77777777">
        <w:trPr>
          <w:trHeight w:val="293"/>
          <w:tblHeader/>
        </w:trPr>
        <w:tc>
          <w:tcPr>
            <w:tcW w:w="1402" w:type="dxa"/>
            <w:tcBorders>
              <w:top w:val="nil"/>
              <w:left w:val="single" w:sz="6" w:space="0" w:color="ABABAB"/>
              <w:bottom w:val="nil"/>
              <w:right w:val="single" w:sz="6" w:space="0" w:color="ABABAB"/>
            </w:tcBorders>
            <w:tcMar>
              <w:top w:w="180" w:type="dxa"/>
              <w:left w:w="180" w:type="dxa"/>
              <w:bottom w:w="180" w:type="dxa"/>
              <w:right w:w="180" w:type="dxa"/>
            </w:tcMar>
            <w:vAlign w:val="center"/>
            <w:hideMark/>
          </w:tcPr>
          <w:p w14:paraId="22A636A8" w14:textId="77777777" w:rsidR="000A2507" w:rsidRPr="006F0EE9" w:rsidRDefault="000A2507">
            <w:pPr>
              <w:spacing w:after="0" w:line="276" w:lineRule="auto"/>
              <w:jc w:val="both"/>
              <w:rPr>
                <w:rFonts w:ascii="Arial" w:eastAsia="Times New Roman" w:hAnsi="Arial" w:cs="Arial"/>
                <w:b/>
                <w:bCs/>
                <w:lang w:val="en-GB"/>
              </w:rPr>
            </w:pPr>
            <w:r w:rsidRPr="006F0EE9">
              <w:rPr>
                <w:rFonts w:ascii="Arial" w:eastAsia="Times New Roman" w:hAnsi="Arial" w:cs="Arial"/>
                <w:b/>
                <w:bCs/>
                <w:lang w:val="en-GB"/>
              </w:rPr>
              <w:t>Quartile</w:t>
            </w:r>
          </w:p>
        </w:tc>
        <w:tc>
          <w:tcPr>
            <w:tcW w:w="1140" w:type="dxa"/>
            <w:tcBorders>
              <w:top w:val="nil"/>
              <w:left w:val="nil"/>
              <w:bottom w:val="nil"/>
              <w:right w:val="single" w:sz="6" w:space="0" w:color="ABABAB"/>
            </w:tcBorders>
            <w:tcMar>
              <w:top w:w="180" w:type="dxa"/>
              <w:left w:w="180" w:type="dxa"/>
              <w:bottom w:w="180" w:type="dxa"/>
              <w:right w:w="180" w:type="dxa"/>
            </w:tcMar>
            <w:vAlign w:val="center"/>
            <w:hideMark/>
          </w:tcPr>
          <w:p w14:paraId="5D8B83D3" w14:textId="596D12A5" w:rsidR="000A2507" w:rsidRPr="006F0EE9" w:rsidRDefault="000A2507">
            <w:pPr>
              <w:spacing w:after="0" w:line="276" w:lineRule="auto"/>
              <w:jc w:val="both"/>
              <w:rPr>
                <w:rFonts w:ascii="Arial" w:eastAsia="Times New Roman" w:hAnsi="Arial" w:cs="Arial"/>
                <w:b/>
                <w:bCs/>
                <w:lang w:val="en-GB"/>
              </w:rPr>
            </w:pPr>
            <w:r w:rsidRPr="006F0EE9">
              <w:rPr>
                <w:rFonts w:ascii="Arial" w:eastAsia="Times New Roman" w:hAnsi="Arial" w:cs="Arial"/>
                <w:b/>
                <w:bCs/>
                <w:lang w:val="en-GB"/>
              </w:rPr>
              <w:t>M</w:t>
            </w:r>
            <w:r w:rsidR="00B94191" w:rsidRPr="006F0EE9">
              <w:rPr>
                <w:rFonts w:ascii="Arial" w:eastAsia="Times New Roman" w:hAnsi="Arial" w:cs="Arial"/>
                <w:b/>
                <w:bCs/>
                <w:lang w:val="en-GB"/>
              </w:rPr>
              <w:t>en</w:t>
            </w:r>
          </w:p>
        </w:tc>
        <w:tc>
          <w:tcPr>
            <w:tcW w:w="1305" w:type="dxa"/>
            <w:tcBorders>
              <w:top w:val="nil"/>
              <w:left w:val="nil"/>
              <w:bottom w:val="nil"/>
              <w:right w:val="single" w:sz="6" w:space="0" w:color="ABABAB"/>
            </w:tcBorders>
            <w:tcMar>
              <w:top w:w="180" w:type="dxa"/>
              <w:left w:w="180" w:type="dxa"/>
              <w:bottom w:w="180" w:type="dxa"/>
              <w:right w:w="180" w:type="dxa"/>
            </w:tcMar>
            <w:vAlign w:val="center"/>
            <w:hideMark/>
          </w:tcPr>
          <w:p w14:paraId="4C4D29B7" w14:textId="7F52DACA" w:rsidR="000A2507" w:rsidRPr="006F0EE9" w:rsidRDefault="00B94191">
            <w:pPr>
              <w:spacing w:after="0" w:line="276" w:lineRule="auto"/>
              <w:jc w:val="both"/>
              <w:rPr>
                <w:rFonts w:ascii="Arial" w:eastAsia="Times New Roman" w:hAnsi="Arial" w:cs="Arial"/>
                <w:b/>
                <w:bCs/>
                <w:lang w:val="en-GB"/>
              </w:rPr>
            </w:pPr>
            <w:r w:rsidRPr="006F0EE9">
              <w:rPr>
                <w:rFonts w:ascii="Arial" w:eastAsia="Times New Roman" w:hAnsi="Arial" w:cs="Arial"/>
                <w:b/>
                <w:bCs/>
                <w:lang w:val="en-GB"/>
              </w:rPr>
              <w:t>Women</w:t>
            </w:r>
          </w:p>
        </w:tc>
        <w:tc>
          <w:tcPr>
            <w:tcW w:w="5765" w:type="dxa"/>
            <w:tcBorders>
              <w:top w:val="nil"/>
              <w:left w:val="nil"/>
              <w:bottom w:val="nil"/>
              <w:right w:val="single" w:sz="6" w:space="0" w:color="ABABAB"/>
            </w:tcBorders>
            <w:tcMar>
              <w:top w:w="180" w:type="dxa"/>
              <w:left w:w="180" w:type="dxa"/>
              <w:bottom w:w="180" w:type="dxa"/>
              <w:right w:w="180" w:type="dxa"/>
            </w:tcMar>
            <w:vAlign w:val="center"/>
            <w:hideMark/>
          </w:tcPr>
          <w:p w14:paraId="4746392E" w14:textId="77777777" w:rsidR="000A2507" w:rsidRPr="006F0EE9" w:rsidRDefault="000A2507">
            <w:pPr>
              <w:spacing w:after="0" w:line="276" w:lineRule="auto"/>
              <w:jc w:val="both"/>
              <w:rPr>
                <w:rFonts w:ascii="Arial" w:eastAsia="Times New Roman" w:hAnsi="Arial" w:cs="Arial"/>
                <w:b/>
                <w:bCs/>
                <w:lang w:val="en-GB"/>
              </w:rPr>
            </w:pPr>
            <w:r w:rsidRPr="006F0EE9">
              <w:rPr>
                <w:rFonts w:ascii="Arial" w:eastAsia="Times New Roman" w:hAnsi="Arial" w:cs="Arial"/>
                <w:b/>
                <w:bCs/>
                <w:lang w:val="en-GB"/>
              </w:rPr>
              <w:t>Description</w:t>
            </w:r>
          </w:p>
        </w:tc>
      </w:tr>
      <w:tr w:rsidR="000A2507" w:rsidRPr="006F0EE9" w14:paraId="77171FF9" w14:textId="77777777">
        <w:trPr>
          <w:trHeight w:val="572"/>
        </w:trPr>
        <w:tc>
          <w:tcPr>
            <w:tcW w:w="140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6F8A008" w14:textId="77777777" w:rsidR="000A2507" w:rsidRPr="006F0EE9" w:rsidRDefault="000A2507">
            <w:pPr>
              <w:spacing w:after="0" w:line="276" w:lineRule="auto"/>
              <w:jc w:val="both"/>
              <w:rPr>
                <w:rFonts w:ascii="Arial" w:eastAsia="Times New Roman" w:hAnsi="Arial" w:cs="Arial"/>
                <w:lang w:val="en-GB"/>
              </w:rPr>
            </w:pPr>
            <w:r w:rsidRPr="006F0EE9">
              <w:rPr>
                <w:rFonts w:ascii="Arial" w:eastAsia="Times New Roman" w:hAnsi="Arial" w:cs="Arial"/>
                <w:lang w:val="en-GB"/>
              </w:rPr>
              <w:t>Lower</w:t>
            </w:r>
          </w:p>
        </w:tc>
        <w:tc>
          <w:tcPr>
            <w:tcW w:w="1140"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B2019DC" w14:textId="4FCDD149" w:rsidR="000A2507" w:rsidRPr="006F0EE9" w:rsidRDefault="000A2507">
            <w:pPr>
              <w:spacing w:after="0" w:line="276" w:lineRule="auto"/>
              <w:jc w:val="both"/>
              <w:rPr>
                <w:rFonts w:ascii="Arial" w:eastAsia="Times New Roman" w:hAnsi="Arial" w:cs="Arial"/>
                <w:lang w:val="en-GB"/>
              </w:rPr>
            </w:pPr>
            <w:r w:rsidRPr="006F0EE9">
              <w:rPr>
                <w:rFonts w:ascii="Arial" w:eastAsia="Times New Roman" w:hAnsi="Arial" w:cs="Arial"/>
                <w:lang w:val="en-GB"/>
              </w:rPr>
              <w:t>1</w:t>
            </w:r>
            <w:r w:rsidR="006F4A68" w:rsidRPr="006F0EE9">
              <w:rPr>
                <w:rFonts w:ascii="Arial" w:eastAsia="Times New Roman" w:hAnsi="Arial" w:cs="Arial"/>
                <w:lang w:val="en-GB"/>
              </w:rPr>
              <w:t>5</w:t>
            </w:r>
            <w:r w:rsidRPr="006F0EE9">
              <w:rPr>
                <w:rFonts w:ascii="Arial" w:eastAsia="Times New Roman" w:hAnsi="Arial" w:cs="Arial"/>
                <w:lang w:val="en-GB"/>
              </w:rPr>
              <w:t>%</w:t>
            </w:r>
          </w:p>
        </w:tc>
        <w:tc>
          <w:tcPr>
            <w:tcW w:w="1305"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98D0DA7" w14:textId="5953137E" w:rsidR="000A2507" w:rsidRPr="006F0EE9" w:rsidRDefault="000A2507">
            <w:pPr>
              <w:spacing w:after="0" w:line="276" w:lineRule="auto"/>
              <w:jc w:val="both"/>
              <w:rPr>
                <w:rFonts w:ascii="Arial" w:eastAsia="Times New Roman" w:hAnsi="Arial" w:cs="Arial"/>
                <w:lang w:val="en-GB"/>
              </w:rPr>
            </w:pPr>
            <w:r w:rsidRPr="006F0EE9">
              <w:rPr>
                <w:rFonts w:ascii="Arial" w:eastAsia="Times New Roman" w:hAnsi="Arial" w:cs="Arial"/>
                <w:lang w:val="en-GB"/>
              </w:rPr>
              <w:t>8</w:t>
            </w:r>
            <w:r w:rsidR="006F4A68" w:rsidRPr="006F0EE9">
              <w:rPr>
                <w:rFonts w:ascii="Arial" w:eastAsia="Times New Roman" w:hAnsi="Arial" w:cs="Arial"/>
                <w:lang w:val="en-GB"/>
              </w:rPr>
              <w:t>5</w:t>
            </w:r>
            <w:r w:rsidRPr="006F0EE9">
              <w:rPr>
                <w:rFonts w:ascii="Arial" w:eastAsia="Times New Roman" w:hAnsi="Arial" w:cs="Arial"/>
                <w:lang w:val="en-GB"/>
              </w:rPr>
              <w:t>%</w:t>
            </w:r>
          </w:p>
        </w:tc>
        <w:tc>
          <w:tcPr>
            <w:tcW w:w="5765"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351758A" w14:textId="77777777" w:rsidR="000A2507" w:rsidRPr="006F0EE9" w:rsidRDefault="000A2507">
            <w:pPr>
              <w:spacing w:after="0" w:line="276" w:lineRule="auto"/>
              <w:jc w:val="both"/>
              <w:rPr>
                <w:rFonts w:ascii="Arial" w:eastAsia="Times New Roman" w:hAnsi="Arial" w:cs="Arial"/>
                <w:lang w:val="en-GB"/>
              </w:rPr>
            </w:pPr>
            <w:r w:rsidRPr="006F0EE9">
              <w:rPr>
                <w:rFonts w:ascii="Arial" w:eastAsia="Times New Roman" w:hAnsi="Arial" w:cs="Arial"/>
                <w:lang w:val="en-GB"/>
              </w:rPr>
              <w:t>Includes all employees whose standard hourly rate places them at or below the lower quartile</w:t>
            </w:r>
          </w:p>
        </w:tc>
      </w:tr>
      <w:tr w:rsidR="000A2507" w:rsidRPr="006F0EE9" w14:paraId="3072AC01" w14:textId="77777777">
        <w:trPr>
          <w:trHeight w:val="851"/>
        </w:trPr>
        <w:tc>
          <w:tcPr>
            <w:tcW w:w="140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D32826D" w14:textId="77777777" w:rsidR="000A2507" w:rsidRPr="006F0EE9" w:rsidRDefault="000A2507">
            <w:pPr>
              <w:spacing w:after="0" w:line="276" w:lineRule="auto"/>
              <w:jc w:val="both"/>
              <w:rPr>
                <w:rFonts w:ascii="Arial" w:eastAsia="Times New Roman" w:hAnsi="Arial" w:cs="Arial"/>
                <w:lang w:val="en-GB"/>
              </w:rPr>
            </w:pPr>
            <w:r w:rsidRPr="006F0EE9">
              <w:rPr>
                <w:rFonts w:ascii="Arial" w:eastAsia="Times New Roman" w:hAnsi="Arial" w:cs="Arial"/>
                <w:lang w:val="en-GB"/>
              </w:rPr>
              <w:lastRenderedPageBreak/>
              <w:t>Middle Lower</w:t>
            </w:r>
          </w:p>
        </w:tc>
        <w:tc>
          <w:tcPr>
            <w:tcW w:w="1140"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5C269E3" w14:textId="048482E7" w:rsidR="000A2507" w:rsidRPr="006F0EE9" w:rsidRDefault="000A2507">
            <w:pPr>
              <w:spacing w:after="0" w:line="276" w:lineRule="auto"/>
              <w:jc w:val="both"/>
              <w:rPr>
                <w:rFonts w:ascii="Arial" w:eastAsia="Times New Roman" w:hAnsi="Arial" w:cs="Arial"/>
                <w:lang w:val="en-GB"/>
              </w:rPr>
            </w:pPr>
            <w:r w:rsidRPr="006F0EE9">
              <w:rPr>
                <w:rFonts w:ascii="Arial" w:eastAsia="Times New Roman" w:hAnsi="Arial" w:cs="Arial"/>
                <w:lang w:val="en-GB"/>
              </w:rPr>
              <w:t>2</w:t>
            </w:r>
            <w:r w:rsidR="006F4A68" w:rsidRPr="006F0EE9">
              <w:rPr>
                <w:rFonts w:ascii="Arial" w:eastAsia="Times New Roman" w:hAnsi="Arial" w:cs="Arial"/>
                <w:lang w:val="en-GB"/>
              </w:rPr>
              <w:t>3</w:t>
            </w:r>
            <w:r w:rsidRPr="006F0EE9">
              <w:rPr>
                <w:rFonts w:ascii="Arial" w:eastAsia="Times New Roman" w:hAnsi="Arial" w:cs="Arial"/>
                <w:lang w:val="en-GB"/>
              </w:rPr>
              <w:t>%</w:t>
            </w:r>
          </w:p>
        </w:tc>
        <w:tc>
          <w:tcPr>
            <w:tcW w:w="1305"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E64FE96" w14:textId="5D2BAC52" w:rsidR="000A2507" w:rsidRPr="006F0EE9" w:rsidRDefault="000A2507">
            <w:pPr>
              <w:spacing w:after="0" w:line="276" w:lineRule="auto"/>
              <w:jc w:val="both"/>
              <w:rPr>
                <w:rFonts w:ascii="Arial" w:eastAsia="Times New Roman" w:hAnsi="Arial" w:cs="Arial"/>
                <w:lang w:val="en-GB"/>
              </w:rPr>
            </w:pPr>
            <w:r w:rsidRPr="006F0EE9">
              <w:rPr>
                <w:rFonts w:ascii="Arial" w:eastAsia="Times New Roman" w:hAnsi="Arial" w:cs="Arial"/>
                <w:lang w:val="en-GB"/>
              </w:rPr>
              <w:t>7</w:t>
            </w:r>
            <w:r w:rsidR="006F4A68" w:rsidRPr="006F0EE9">
              <w:rPr>
                <w:rFonts w:ascii="Arial" w:eastAsia="Times New Roman" w:hAnsi="Arial" w:cs="Arial"/>
                <w:lang w:val="en-GB"/>
              </w:rPr>
              <w:t>7</w:t>
            </w:r>
            <w:r w:rsidRPr="006F0EE9">
              <w:rPr>
                <w:rFonts w:ascii="Arial" w:eastAsia="Times New Roman" w:hAnsi="Arial" w:cs="Arial"/>
                <w:lang w:val="en-GB"/>
              </w:rPr>
              <w:t>%</w:t>
            </w:r>
          </w:p>
        </w:tc>
        <w:tc>
          <w:tcPr>
            <w:tcW w:w="5765"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3878127" w14:textId="77777777" w:rsidR="000A2507" w:rsidRPr="006F0EE9" w:rsidRDefault="000A2507">
            <w:pPr>
              <w:spacing w:after="0" w:line="276" w:lineRule="auto"/>
              <w:jc w:val="both"/>
              <w:rPr>
                <w:rFonts w:ascii="Arial" w:eastAsia="Times New Roman" w:hAnsi="Arial" w:cs="Arial"/>
                <w:lang w:val="en-GB"/>
              </w:rPr>
            </w:pPr>
            <w:r w:rsidRPr="006F0EE9">
              <w:rPr>
                <w:rFonts w:ascii="Arial" w:eastAsia="Times New Roman" w:hAnsi="Arial" w:cs="Arial"/>
                <w:lang w:val="en-GB"/>
              </w:rPr>
              <w:t>Includes all employees whose standard hourly rate places them above the lower quartile but at or below the median</w:t>
            </w:r>
          </w:p>
        </w:tc>
      </w:tr>
      <w:tr w:rsidR="000A2507" w:rsidRPr="006F0EE9" w14:paraId="0DA4A564" w14:textId="77777777">
        <w:trPr>
          <w:trHeight w:val="851"/>
        </w:trPr>
        <w:tc>
          <w:tcPr>
            <w:tcW w:w="140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A3D7F80" w14:textId="77777777" w:rsidR="000A2507" w:rsidRPr="006F0EE9" w:rsidRDefault="000A2507">
            <w:pPr>
              <w:spacing w:after="0" w:line="276" w:lineRule="auto"/>
              <w:jc w:val="both"/>
              <w:rPr>
                <w:rFonts w:ascii="Arial" w:eastAsia="Times New Roman" w:hAnsi="Arial" w:cs="Arial"/>
                <w:lang w:val="en-GB"/>
              </w:rPr>
            </w:pPr>
            <w:r w:rsidRPr="006F0EE9">
              <w:rPr>
                <w:rFonts w:ascii="Arial" w:eastAsia="Times New Roman" w:hAnsi="Arial" w:cs="Arial"/>
                <w:lang w:val="en-GB"/>
              </w:rPr>
              <w:t>Middle upper</w:t>
            </w:r>
          </w:p>
        </w:tc>
        <w:tc>
          <w:tcPr>
            <w:tcW w:w="1140"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45122DF" w14:textId="6BE36570" w:rsidR="000A2507" w:rsidRPr="006F0EE9" w:rsidRDefault="000A2507">
            <w:pPr>
              <w:spacing w:after="0" w:line="276" w:lineRule="auto"/>
              <w:jc w:val="both"/>
              <w:rPr>
                <w:rFonts w:ascii="Arial" w:eastAsia="Times New Roman" w:hAnsi="Arial" w:cs="Arial"/>
                <w:lang w:val="en-GB"/>
              </w:rPr>
            </w:pPr>
            <w:r w:rsidRPr="006F0EE9">
              <w:rPr>
                <w:rFonts w:ascii="Arial" w:eastAsia="Times New Roman" w:hAnsi="Arial" w:cs="Arial"/>
                <w:lang w:val="en-GB"/>
              </w:rPr>
              <w:t>2</w:t>
            </w:r>
            <w:r w:rsidR="006F4A68" w:rsidRPr="006F0EE9">
              <w:rPr>
                <w:rFonts w:ascii="Arial" w:eastAsia="Times New Roman" w:hAnsi="Arial" w:cs="Arial"/>
                <w:lang w:val="en-GB"/>
              </w:rPr>
              <w:t>7</w:t>
            </w:r>
            <w:r w:rsidRPr="006F0EE9">
              <w:rPr>
                <w:rFonts w:ascii="Arial" w:eastAsia="Times New Roman" w:hAnsi="Arial" w:cs="Arial"/>
                <w:lang w:val="en-GB"/>
              </w:rPr>
              <w:t>%</w:t>
            </w:r>
          </w:p>
        </w:tc>
        <w:tc>
          <w:tcPr>
            <w:tcW w:w="1305"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7B3A8E5" w14:textId="4F119C83" w:rsidR="000A2507" w:rsidRPr="006F0EE9" w:rsidRDefault="000A2507">
            <w:pPr>
              <w:spacing w:after="0" w:line="276" w:lineRule="auto"/>
              <w:jc w:val="both"/>
              <w:rPr>
                <w:rFonts w:ascii="Arial" w:eastAsia="Times New Roman" w:hAnsi="Arial" w:cs="Arial"/>
                <w:lang w:val="en-GB"/>
              </w:rPr>
            </w:pPr>
            <w:r w:rsidRPr="006F0EE9">
              <w:rPr>
                <w:rFonts w:ascii="Arial" w:eastAsia="Times New Roman" w:hAnsi="Arial" w:cs="Arial"/>
                <w:lang w:val="en-GB"/>
              </w:rPr>
              <w:t>7</w:t>
            </w:r>
            <w:r w:rsidR="006F4A68" w:rsidRPr="006F0EE9">
              <w:rPr>
                <w:rFonts w:ascii="Arial" w:eastAsia="Times New Roman" w:hAnsi="Arial" w:cs="Arial"/>
                <w:lang w:val="en-GB"/>
              </w:rPr>
              <w:t>3</w:t>
            </w:r>
            <w:r w:rsidRPr="006F0EE9">
              <w:rPr>
                <w:rFonts w:ascii="Arial" w:eastAsia="Times New Roman" w:hAnsi="Arial" w:cs="Arial"/>
                <w:lang w:val="en-GB"/>
              </w:rPr>
              <w:t>%</w:t>
            </w:r>
          </w:p>
        </w:tc>
        <w:tc>
          <w:tcPr>
            <w:tcW w:w="5765"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2631189" w14:textId="77777777" w:rsidR="000A2507" w:rsidRPr="006F0EE9" w:rsidRDefault="000A2507">
            <w:pPr>
              <w:spacing w:after="0" w:line="276" w:lineRule="auto"/>
              <w:jc w:val="both"/>
              <w:rPr>
                <w:rFonts w:ascii="Arial" w:eastAsia="Times New Roman" w:hAnsi="Arial" w:cs="Arial"/>
                <w:lang w:val="en-GB"/>
              </w:rPr>
            </w:pPr>
            <w:r w:rsidRPr="006F0EE9">
              <w:rPr>
                <w:rFonts w:ascii="Arial" w:eastAsia="Times New Roman" w:hAnsi="Arial" w:cs="Arial"/>
                <w:lang w:val="en-GB"/>
              </w:rPr>
              <w:t>Includes all employees whose standard hourly rate places them above the median but at or below the upper quartile</w:t>
            </w:r>
          </w:p>
        </w:tc>
      </w:tr>
      <w:tr w:rsidR="000A2507" w:rsidRPr="006F0EE9" w14:paraId="5D0DE63A" w14:textId="77777777">
        <w:trPr>
          <w:trHeight w:val="572"/>
        </w:trPr>
        <w:tc>
          <w:tcPr>
            <w:tcW w:w="1402"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069A108" w14:textId="77777777" w:rsidR="000A2507" w:rsidRPr="006F0EE9" w:rsidRDefault="000A2507">
            <w:pPr>
              <w:spacing w:after="0" w:line="276" w:lineRule="auto"/>
              <w:jc w:val="both"/>
              <w:rPr>
                <w:rFonts w:ascii="Arial" w:eastAsia="Times New Roman" w:hAnsi="Arial" w:cs="Arial"/>
                <w:lang w:val="en-GB"/>
              </w:rPr>
            </w:pPr>
            <w:r w:rsidRPr="006F0EE9">
              <w:rPr>
                <w:rFonts w:ascii="Arial" w:eastAsia="Times New Roman" w:hAnsi="Arial" w:cs="Arial"/>
                <w:lang w:val="en-GB"/>
              </w:rPr>
              <w:t>Upper</w:t>
            </w:r>
          </w:p>
        </w:tc>
        <w:tc>
          <w:tcPr>
            <w:tcW w:w="1140"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F53701E" w14:textId="30FEA908" w:rsidR="000A2507" w:rsidRPr="006F0EE9" w:rsidRDefault="000A2507">
            <w:pPr>
              <w:spacing w:after="0" w:line="276" w:lineRule="auto"/>
              <w:jc w:val="both"/>
              <w:rPr>
                <w:rFonts w:ascii="Arial" w:eastAsia="Times New Roman" w:hAnsi="Arial" w:cs="Arial"/>
                <w:lang w:val="en-GB"/>
              </w:rPr>
            </w:pPr>
            <w:r w:rsidRPr="006F0EE9">
              <w:rPr>
                <w:rFonts w:ascii="Arial" w:eastAsia="Times New Roman" w:hAnsi="Arial" w:cs="Arial"/>
                <w:lang w:val="en-GB"/>
              </w:rPr>
              <w:t>3</w:t>
            </w:r>
            <w:r w:rsidR="006F4A68" w:rsidRPr="006F0EE9">
              <w:rPr>
                <w:rFonts w:ascii="Arial" w:eastAsia="Times New Roman" w:hAnsi="Arial" w:cs="Arial"/>
                <w:lang w:val="en-GB"/>
              </w:rPr>
              <w:t>6</w:t>
            </w:r>
            <w:r w:rsidRPr="006F0EE9">
              <w:rPr>
                <w:rFonts w:ascii="Arial" w:eastAsia="Times New Roman" w:hAnsi="Arial" w:cs="Arial"/>
                <w:lang w:val="en-GB"/>
              </w:rPr>
              <w:t>%</w:t>
            </w:r>
          </w:p>
        </w:tc>
        <w:tc>
          <w:tcPr>
            <w:tcW w:w="1305"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6F012249" w14:textId="1E5E8F9D" w:rsidR="000A2507" w:rsidRPr="006F0EE9" w:rsidRDefault="006F4A68">
            <w:pPr>
              <w:spacing w:after="0" w:line="276" w:lineRule="auto"/>
              <w:jc w:val="both"/>
              <w:rPr>
                <w:rFonts w:ascii="Arial" w:eastAsia="Times New Roman" w:hAnsi="Arial" w:cs="Arial"/>
                <w:lang w:val="en-GB"/>
              </w:rPr>
            </w:pPr>
            <w:r w:rsidRPr="006F0EE9">
              <w:rPr>
                <w:rFonts w:ascii="Arial" w:eastAsia="Times New Roman" w:hAnsi="Arial" w:cs="Arial"/>
                <w:lang w:val="en-GB"/>
              </w:rPr>
              <w:t>64</w:t>
            </w:r>
            <w:r w:rsidR="000A2507" w:rsidRPr="006F0EE9">
              <w:rPr>
                <w:rFonts w:ascii="Arial" w:eastAsia="Times New Roman" w:hAnsi="Arial" w:cs="Arial"/>
                <w:lang w:val="en-GB"/>
              </w:rPr>
              <w:t>%</w:t>
            </w:r>
          </w:p>
        </w:tc>
        <w:tc>
          <w:tcPr>
            <w:tcW w:w="5765" w:type="dxa"/>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98D4E9F" w14:textId="77777777" w:rsidR="000A2507" w:rsidRPr="006F0EE9" w:rsidRDefault="000A2507">
            <w:pPr>
              <w:spacing w:after="0" w:line="276" w:lineRule="auto"/>
              <w:jc w:val="both"/>
              <w:rPr>
                <w:rFonts w:ascii="Arial" w:eastAsia="Times New Roman" w:hAnsi="Arial" w:cs="Arial"/>
                <w:lang w:val="en-GB"/>
              </w:rPr>
            </w:pPr>
            <w:r w:rsidRPr="006F0EE9">
              <w:rPr>
                <w:rFonts w:ascii="Arial" w:eastAsia="Times New Roman" w:hAnsi="Arial" w:cs="Arial"/>
                <w:lang w:val="en-GB"/>
              </w:rPr>
              <w:t>Includes all employees whose standard hourly rate places them above the upper quartile</w:t>
            </w:r>
          </w:p>
        </w:tc>
      </w:tr>
    </w:tbl>
    <w:p w14:paraId="79462F4F" w14:textId="77777777" w:rsidR="000A2507" w:rsidRPr="006F0EE9" w:rsidRDefault="000A2507" w:rsidP="000A2507">
      <w:pPr>
        <w:spacing w:after="0" w:line="276" w:lineRule="auto"/>
        <w:jc w:val="both"/>
        <w:rPr>
          <w:rFonts w:ascii="Arial" w:eastAsiaTheme="minorEastAsia" w:hAnsi="Arial" w:cs="Arial"/>
          <w:lang w:val="en-GB"/>
        </w:rPr>
      </w:pPr>
    </w:p>
    <w:p w14:paraId="1491EDA7" w14:textId="77777777" w:rsidR="000A2507" w:rsidRPr="006F0EE9" w:rsidRDefault="000A2507" w:rsidP="000A2507">
      <w:pPr>
        <w:spacing w:after="0" w:line="276" w:lineRule="auto"/>
        <w:jc w:val="both"/>
        <w:rPr>
          <w:rFonts w:ascii="Arial" w:hAnsi="Arial" w:cs="Arial"/>
        </w:rPr>
      </w:pPr>
      <w:r w:rsidRPr="006F0EE9">
        <w:rPr>
          <w:rFonts w:ascii="Arial" w:hAnsi="Arial" w:cs="Arial"/>
        </w:rPr>
        <w:t>A quartile is one of four equally sized groups created when you divide a selection of numbers that are in ascending order into four. The "lower quartile" is the lowest group. The "upper quartile" is the highest group.</w:t>
      </w:r>
    </w:p>
    <w:p w14:paraId="3D56CE33" w14:textId="77777777" w:rsidR="000A2507" w:rsidRPr="006F0EE9" w:rsidRDefault="000A2507" w:rsidP="000A2507">
      <w:pPr>
        <w:spacing w:after="0" w:line="276" w:lineRule="auto"/>
        <w:jc w:val="both"/>
        <w:rPr>
          <w:rFonts w:ascii="Arial" w:hAnsi="Arial" w:cs="Arial"/>
          <w:b/>
          <w:bCs/>
          <w:color w:val="2E74B5" w:themeColor="accent1" w:themeShade="BF"/>
          <w:sz w:val="24"/>
          <w:szCs w:val="24"/>
          <w:lang w:val="en-GB"/>
        </w:rPr>
      </w:pPr>
    </w:p>
    <w:bookmarkEnd w:id="0"/>
    <w:p w14:paraId="0DF40AF8" w14:textId="77777777" w:rsidR="000A2507" w:rsidRPr="006F0EE9" w:rsidRDefault="52749337" w:rsidP="000A2507">
      <w:pPr>
        <w:spacing w:after="0" w:line="276" w:lineRule="auto"/>
        <w:jc w:val="both"/>
        <w:rPr>
          <w:rFonts w:ascii="Arial" w:hAnsi="Arial" w:cs="Arial"/>
          <w:b/>
          <w:bCs/>
          <w:color w:val="000000" w:themeColor="text1"/>
          <w:u w:val="single"/>
          <w:lang w:val="en-GB"/>
        </w:rPr>
      </w:pPr>
      <w:r w:rsidRPr="006F0EE9">
        <w:rPr>
          <w:rFonts w:ascii="Arial" w:hAnsi="Arial" w:cs="Arial"/>
          <w:b/>
          <w:bCs/>
          <w:color w:val="000000" w:themeColor="text1"/>
          <w:u w:val="single"/>
          <w:lang w:val="en-GB"/>
        </w:rPr>
        <w:t>Mean and Median Gender Pay Gap</w:t>
      </w:r>
    </w:p>
    <w:p w14:paraId="57A58716" w14:textId="77777777" w:rsidR="52749337" w:rsidRPr="006F0EE9" w:rsidRDefault="52749337" w:rsidP="52749337">
      <w:pPr>
        <w:spacing w:after="0" w:line="276" w:lineRule="auto"/>
        <w:jc w:val="both"/>
        <w:rPr>
          <w:rFonts w:ascii="Arial" w:hAnsi="Arial" w:cs="Arial"/>
          <w:b/>
          <w:bCs/>
          <w:color w:val="2E74B5" w:themeColor="accent1" w:themeShade="BF"/>
          <w:sz w:val="24"/>
          <w:szCs w:val="24"/>
          <w:lang w:val="en-GB"/>
        </w:rPr>
      </w:pPr>
    </w:p>
    <w:p w14:paraId="405D6FDD" w14:textId="05BF1CAD" w:rsidR="52749337" w:rsidRPr="006F0EE9" w:rsidRDefault="52749337" w:rsidP="52749337">
      <w:pPr>
        <w:numPr>
          <w:ilvl w:val="0"/>
          <w:numId w:val="2"/>
        </w:numPr>
        <w:spacing w:after="0" w:line="276" w:lineRule="auto"/>
        <w:jc w:val="both"/>
        <w:rPr>
          <w:rFonts w:ascii="Arial" w:eastAsia="Times New Roman" w:hAnsi="Arial" w:cs="Arial"/>
          <w:lang w:val="en-GB"/>
        </w:rPr>
      </w:pPr>
      <w:r w:rsidRPr="006F0EE9">
        <w:rPr>
          <w:rFonts w:ascii="Arial" w:eastAsia="Times New Roman" w:hAnsi="Arial" w:cs="Arial"/>
          <w:lang w:val="en-GB"/>
        </w:rPr>
        <w:t xml:space="preserve">The </w:t>
      </w:r>
      <w:r w:rsidRPr="006F0EE9">
        <w:rPr>
          <w:rFonts w:ascii="Arial" w:eastAsia="Times New Roman" w:hAnsi="Arial" w:cs="Arial"/>
          <w:b/>
          <w:bCs/>
          <w:lang w:val="en-GB"/>
        </w:rPr>
        <w:t>mean gender pay gap</w:t>
      </w:r>
      <w:r w:rsidRPr="006F0EE9">
        <w:rPr>
          <w:rFonts w:ascii="Arial" w:eastAsia="Times New Roman" w:hAnsi="Arial" w:cs="Arial"/>
          <w:lang w:val="en-GB"/>
        </w:rPr>
        <w:t xml:space="preserve"> for IRC UK was </w:t>
      </w:r>
      <w:r w:rsidRPr="006F0EE9">
        <w:rPr>
          <w:rFonts w:ascii="Arial" w:eastAsia="Times New Roman" w:hAnsi="Arial" w:cs="Arial"/>
          <w:b/>
          <w:bCs/>
          <w:lang w:val="en-GB"/>
        </w:rPr>
        <w:t>12%</w:t>
      </w:r>
      <w:r w:rsidRPr="006F0EE9">
        <w:rPr>
          <w:rFonts w:ascii="Arial" w:eastAsia="Times New Roman" w:hAnsi="Arial" w:cs="Arial"/>
          <w:lang w:val="en-GB"/>
        </w:rPr>
        <w:t xml:space="preserve"> on mean hourly salaries (£33.82 for men and £29.74 for women).</w:t>
      </w:r>
    </w:p>
    <w:p w14:paraId="56A4B228" w14:textId="03ACBAAF" w:rsidR="52749337" w:rsidRPr="006F0EE9" w:rsidRDefault="52749337" w:rsidP="52749337">
      <w:pPr>
        <w:numPr>
          <w:ilvl w:val="0"/>
          <w:numId w:val="2"/>
        </w:numPr>
        <w:spacing w:after="0" w:line="276" w:lineRule="auto"/>
        <w:jc w:val="both"/>
        <w:rPr>
          <w:rFonts w:ascii="Arial" w:eastAsia="Times New Roman" w:hAnsi="Arial" w:cs="Arial"/>
          <w:lang w:val="en-GB"/>
        </w:rPr>
      </w:pPr>
      <w:r w:rsidRPr="006F0EE9">
        <w:rPr>
          <w:rFonts w:ascii="Arial" w:eastAsia="Times New Roman" w:hAnsi="Arial" w:cs="Arial"/>
          <w:lang w:val="en-GB"/>
        </w:rPr>
        <w:t xml:space="preserve">The </w:t>
      </w:r>
      <w:r w:rsidRPr="006F0EE9">
        <w:rPr>
          <w:rFonts w:ascii="Arial" w:eastAsia="Times New Roman" w:hAnsi="Arial" w:cs="Arial"/>
          <w:b/>
          <w:bCs/>
          <w:lang w:val="en-GB"/>
        </w:rPr>
        <w:t>median gender pay gap</w:t>
      </w:r>
      <w:r w:rsidRPr="006F0EE9">
        <w:rPr>
          <w:rFonts w:ascii="Arial" w:eastAsia="Times New Roman" w:hAnsi="Arial" w:cs="Arial"/>
          <w:lang w:val="en-GB"/>
        </w:rPr>
        <w:t xml:space="preserve"> for IRC UK was </w:t>
      </w:r>
      <w:r w:rsidRPr="006F0EE9">
        <w:rPr>
          <w:rFonts w:ascii="Arial" w:eastAsia="Times New Roman" w:hAnsi="Arial" w:cs="Arial"/>
          <w:b/>
          <w:bCs/>
          <w:lang w:val="en-GB"/>
        </w:rPr>
        <w:t xml:space="preserve">14% </w:t>
      </w:r>
      <w:r w:rsidRPr="006F0EE9">
        <w:rPr>
          <w:rFonts w:ascii="Arial" w:eastAsia="Times New Roman" w:hAnsi="Arial" w:cs="Arial"/>
          <w:lang w:val="en-GB"/>
        </w:rPr>
        <w:t>on median hourly salaries (£32.73 for men and £28.13 for women)</w:t>
      </w:r>
    </w:p>
    <w:p w14:paraId="7E7DDF7A" w14:textId="5C13A72C" w:rsidR="000A2507" w:rsidRPr="006F0EE9" w:rsidRDefault="000A2507" w:rsidP="52749337">
      <w:pPr>
        <w:spacing w:after="0" w:line="276" w:lineRule="auto"/>
        <w:jc w:val="both"/>
        <w:rPr>
          <w:rFonts w:ascii="Arial" w:hAnsi="Arial" w:cs="Arial"/>
          <w:b/>
          <w:bCs/>
          <w:color w:val="2E74B5" w:themeColor="accent1" w:themeShade="BF"/>
          <w:sz w:val="24"/>
          <w:szCs w:val="24"/>
          <w:lang w:val="en-GB"/>
        </w:rPr>
      </w:pPr>
    </w:p>
    <w:p w14:paraId="3DF35856" w14:textId="77777777" w:rsidR="000A2507" w:rsidRPr="006F0EE9" w:rsidRDefault="000A2507" w:rsidP="000A2507">
      <w:pPr>
        <w:spacing w:after="0" w:line="276" w:lineRule="auto"/>
        <w:jc w:val="both"/>
        <w:rPr>
          <w:rFonts w:ascii="Arial" w:hAnsi="Arial" w:cs="Arial"/>
          <w:bCs/>
        </w:rPr>
      </w:pPr>
      <w:r w:rsidRPr="006F0EE9">
        <w:rPr>
          <w:rFonts w:ascii="Arial" w:hAnsi="Arial" w:cs="Arial"/>
          <w:bCs/>
        </w:rPr>
        <w:t xml:space="preserve">The mean hourly pay rate is the average, and the median hourly pay rate is the central value when salaries are </w:t>
      </w:r>
      <w:proofErr w:type="spellStart"/>
      <w:r w:rsidRPr="006F0EE9">
        <w:rPr>
          <w:rFonts w:ascii="Arial" w:hAnsi="Arial" w:cs="Arial"/>
          <w:bCs/>
        </w:rPr>
        <w:t>organised</w:t>
      </w:r>
      <w:proofErr w:type="spellEnd"/>
      <w:r w:rsidRPr="006F0EE9">
        <w:rPr>
          <w:rFonts w:ascii="Arial" w:hAnsi="Arial" w:cs="Arial"/>
          <w:bCs/>
        </w:rPr>
        <w:t xml:space="preserve"> from lowest to highest. The median gender pay gap is generally more reliable, as it reduces the impact of very high or low salaries. </w:t>
      </w:r>
    </w:p>
    <w:p w14:paraId="3B90AF63" w14:textId="77777777" w:rsidR="000A2507" w:rsidRPr="006F0EE9" w:rsidRDefault="000A2507" w:rsidP="000A2507">
      <w:pPr>
        <w:spacing w:after="0" w:line="276" w:lineRule="auto"/>
        <w:jc w:val="both"/>
        <w:rPr>
          <w:rFonts w:ascii="Arial" w:hAnsi="Arial" w:cs="Arial"/>
          <w:bCs/>
          <w:lang w:val="en-GB"/>
        </w:rPr>
      </w:pPr>
    </w:p>
    <w:p w14:paraId="36E6CBAC" w14:textId="5DC4200A" w:rsidR="000A2507" w:rsidRPr="006F0EE9" w:rsidRDefault="000A2507" w:rsidP="000A2507">
      <w:pPr>
        <w:spacing w:after="0" w:line="276" w:lineRule="auto"/>
        <w:jc w:val="both"/>
        <w:rPr>
          <w:rFonts w:ascii="Arial" w:hAnsi="Arial" w:cs="Arial"/>
          <w:bCs/>
          <w:lang w:val="en-GB"/>
        </w:rPr>
      </w:pPr>
      <w:r w:rsidRPr="006F0EE9">
        <w:rPr>
          <w:rFonts w:ascii="Arial" w:hAnsi="Arial" w:cs="Arial"/>
          <w:bCs/>
          <w:lang w:val="en-GB"/>
        </w:rPr>
        <w:t xml:space="preserve">A positive pay gap means that the mean or median hourly pay is higher for </w:t>
      </w:r>
      <w:r w:rsidR="00B94191" w:rsidRPr="006F0EE9">
        <w:rPr>
          <w:rFonts w:ascii="Arial" w:hAnsi="Arial" w:cs="Arial"/>
          <w:bCs/>
          <w:lang w:val="en-GB"/>
        </w:rPr>
        <w:t>men than women</w:t>
      </w:r>
      <w:r w:rsidRPr="006F0EE9">
        <w:rPr>
          <w:rFonts w:ascii="Arial" w:hAnsi="Arial" w:cs="Arial"/>
          <w:bCs/>
          <w:lang w:val="en-GB"/>
        </w:rPr>
        <w:t>. A negative pay gap means that the mean or median hourly pay is higher for</w:t>
      </w:r>
      <w:r w:rsidR="00B94191" w:rsidRPr="006F0EE9">
        <w:rPr>
          <w:rFonts w:ascii="Arial" w:hAnsi="Arial" w:cs="Arial"/>
          <w:bCs/>
          <w:lang w:val="en-GB"/>
        </w:rPr>
        <w:t xml:space="preserve"> women</w:t>
      </w:r>
      <w:r w:rsidRPr="006F0EE9">
        <w:rPr>
          <w:rFonts w:ascii="Arial" w:hAnsi="Arial" w:cs="Arial"/>
          <w:bCs/>
          <w:lang w:val="en-GB"/>
        </w:rPr>
        <w:t xml:space="preserve"> than </w:t>
      </w:r>
      <w:r w:rsidR="00B94191" w:rsidRPr="006F0EE9">
        <w:rPr>
          <w:rFonts w:ascii="Arial" w:hAnsi="Arial" w:cs="Arial"/>
          <w:bCs/>
          <w:lang w:val="en-GB"/>
        </w:rPr>
        <w:t>men.</w:t>
      </w:r>
    </w:p>
    <w:p w14:paraId="5C397C57" w14:textId="77777777" w:rsidR="00B94191" w:rsidRPr="006F0EE9" w:rsidRDefault="00B94191" w:rsidP="000A2507">
      <w:pPr>
        <w:spacing w:after="0" w:line="276" w:lineRule="auto"/>
        <w:jc w:val="both"/>
        <w:rPr>
          <w:rFonts w:ascii="Arial" w:eastAsiaTheme="minorEastAsia" w:hAnsi="Arial" w:cs="Arial"/>
          <w:lang w:val="en-GB"/>
        </w:rPr>
      </w:pPr>
    </w:p>
    <w:p w14:paraId="4F205D99" w14:textId="7084C10F" w:rsidR="000A2507" w:rsidRPr="006F0EE9" w:rsidRDefault="52749337" w:rsidP="52749337">
      <w:pPr>
        <w:spacing w:after="0" w:line="276" w:lineRule="auto"/>
        <w:jc w:val="both"/>
        <w:rPr>
          <w:rFonts w:ascii="Arial" w:eastAsiaTheme="minorEastAsia" w:hAnsi="Arial" w:cs="Arial"/>
          <w:lang w:val="en-GB"/>
        </w:rPr>
      </w:pPr>
      <w:r w:rsidRPr="006F0EE9">
        <w:rPr>
          <w:rFonts w:ascii="Arial" w:hAnsi="Arial" w:cs="Arial"/>
          <w:lang w:val="en-GB"/>
        </w:rPr>
        <w:t>Since the last measurement on 5</w:t>
      </w:r>
      <w:r w:rsidRPr="006F0EE9">
        <w:rPr>
          <w:rFonts w:ascii="Arial" w:hAnsi="Arial" w:cs="Arial"/>
          <w:vertAlign w:val="superscript"/>
          <w:lang w:val="en-GB"/>
        </w:rPr>
        <w:t>th</w:t>
      </w:r>
      <w:r w:rsidRPr="006F0EE9">
        <w:rPr>
          <w:rFonts w:ascii="Arial" w:hAnsi="Arial" w:cs="Arial"/>
          <w:lang w:val="en-GB"/>
        </w:rPr>
        <w:t xml:space="preserve"> April 2023, the mean gender pay gap has increased from 8% to 12% and the median gender pay gap has increased from 12</w:t>
      </w:r>
      <w:r w:rsidR="00B36F18">
        <w:rPr>
          <w:rFonts w:ascii="Arial" w:hAnsi="Arial" w:cs="Arial"/>
          <w:lang w:val="en-GB"/>
        </w:rPr>
        <w:t>%</w:t>
      </w:r>
      <w:r w:rsidRPr="006F0EE9">
        <w:rPr>
          <w:rFonts w:ascii="Arial" w:hAnsi="Arial" w:cs="Arial"/>
          <w:lang w:val="en-GB"/>
        </w:rPr>
        <w:t xml:space="preserve"> to 14%</w:t>
      </w:r>
      <w:r w:rsidRPr="006F0EE9">
        <w:rPr>
          <w:rFonts w:ascii="Arial" w:eastAsiaTheme="minorEastAsia" w:hAnsi="Arial" w:cs="Arial"/>
          <w:lang w:val="en-GB"/>
        </w:rPr>
        <w:t xml:space="preserve">. </w:t>
      </w:r>
    </w:p>
    <w:p w14:paraId="27B3A7CD" w14:textId="77777777" w:rsidR="000A2507" w:rsidRPr="006F0EE9" w:rsidRDefault="000A2507" w:rsidP="000A2507">
      <w:pPr>
        <w:spacing w:after="0" w:line="276" w:lineRule="auto"/>
        <w:jc w:val="both"/>
        <w:rPr>
          <w:rFonts w:ascii="Arial" w:eastAsiaTheme="minorEastAsia" w:hAnsi="Arial" w:cs="Arial"/>
          <w:highlight w:val="yellow"/>
          <w:lang w:val="en-GB"/>
        </w:rPr>
      </w:pPr>
    </w:p>
    <w:p w14:paraId="7DDF7B00" w14:textId="77777777" w:rsidR="00B36F18" w:rsidRDefault="00B36F18" w:rsidP="00B36F18">
      <w:pPr>
        <w:spacing w:after="4" w:line="269" w:lineRule="auto"/>
        <w:jc w:val="both"/>
        <w:rPr>
          <w:rFonts w:ascii="Arial" w:eastAsia="Arial" w:hAnsi="Arial" w:cs="Arial"/>
          <w:color w:val="000000" w:themeColor="text1"/>
        </w:rPr>
      </w:pPr>
      <w:r w:rsidRPr="006F0EE9">
        <w:rPr>
          <w:rFonts w:ascii="Arial" w:eastAsia="Arial" w:hAnsi="Arial" w:cs="Arial"/>
          <w:color w:val="000000" w:themeColor="text1"/>
        </w:rPr>
        <w:t>IRC UK is confident that our gender pay gap is not because we pay men and women differently for the same or equivalent work. Instead, the gender pay gap appears to stem from men and women working in different roles that have different salaries.</w:t>
      </w:r>
      <w:r w:rsidRPr="006F0EE9">
        <w:rPr>
          <w:rFonts w:ascii="Arial" w:eastAsia="Calibri" w:hAnsi="Arial" w:cs="Arial"/>
          <w:color w:val="000000" w:themeColor="text1"/>
        </w:rPr>
        <w:t xml:space="preserve"> </w:t>
      </w:r>
      <w:r w:rsidRPr="006F0EE9">
        <w:rPr>
          <w:rFonts w:ascii="Arial" w:eastAsia="Arial" w:hAnsi="Arial" w:cs="Arial"/>
          <w:color w:val="000000" w:themeColor="text1"/>
        </w:rPr>
        <w:t xml:space="preserve"> </w:t>
      </w:r>
    </w:p>
    <w:p w14:paraId="20402FCB" w14:textId="77777777" w:rsidR="00B36F18" w:rsidRDefault="00B36F18" w:rsidP="02C5EFDE">
      <w:pPr>
        <w:spacing w:after="0" w:line="276" w:lineRule="auto"/>
        <w:jc w:val="both"/>
        <w:rPr>
          <w:rFonts w:ascii="Arial" w:eastAsiaTheme="minorEastAsia" w:hAnsi="Arial" w:cs="Arial"/>
          <w:lang w:val="en-GB"/>
        </w:rPr>
      </w:pPr>
    </w:p>
    <w:p w14:paraId="6ED4A155" w14:textId="77777777" w:rsidR="00B36F18" w:rsidRPr="006F0EE9" w:rsidRDefault="00B36F18" w:rsidP="00B36F18">
      <w:pPr>
        <w:spacing w:after="0" w:line="276" w:lineRule="auto"/>
        <w:jc w:val="both"/>
        <w:rPr>
          <w:rFonts w:ascii="Arial" w:eastAsiaTheme="minorEastAsia" w:hAnsi="Arial" w:cs="Arial"/>
        </w:rPr>
      </w:pPr>
      <w:r w:rsidRPr="006F0EE9">
        <w:rPr>
          <w:rFonts w:ascii="Arial" w:eastAsiaTheme="minorEastAsia" w:hAnsi="Arial" w:cs="Arial"/>
        </w:rPr>
        <w:t xml:space="preserve">We are committed to equal opportunities and treatment for all employees, regardless of sex, race, religion or belief, age, marriage or civil partnership, pregnancy/maternity, sexual orientation, </w:t>
      </w:r>
      <w:r w:rsidRPr="006F0EE9">
        <w:rPr>
          <w:rFonts w:ascii="Arial" w:eastAsiaTheme="minorEastAsia" w:hAnsi="Arial" w:cs="Arial"/>
        </w:rPr>
        <w:lastRenderedPageBreak/>
        <w:t xml:space="preserve">gender reassignment or disability. We have a clear policy of paying employees equally for the same or equivalent work, regardless of their sex (or anything else listed above). </w:t>
      </w:r>
    </w:p>
    <w:p w14:paraId="6E3E3535" w14:textId="77777777" w:rsidR="00B36F18" w:rsidRPr="006F0EE9" w:rsidRDefault="00B36F18" w:rsidP="00B36F18">
      <w:pPr>
        <w:spacing w:after="0" w:line="276" w:lineRule="auto"/>
        <w:jc w:val="both"/>
        <w:rPr>
          <w:rFonts w:ascii="Arial" w:eastAsiaTheme="minorEastAsia" w:hAnsi="Arial" w:cs="Arial"/>
        </w:rPr>
      </w:pPr>
    </w:p>
    <w:p w14:paraId="638C31DB" w14:textId="77777777" w:rsidR="00B36F18" w:rsidRPr="006F0EE9" w:rsidRDefault="00B36F18" w:rsidP="00B36F18">
      <w:pPr>
        <w:spacing w:after="0" w:line="276" w:lineRule="auto"/>
        <w:jc w:val="both"/>
        <w:rPr>
          <w:rFonts w:ascii="Arial" w:eastAsiaTheme="minorEastAsia" w:hAnsi="Arial" w:cs="Arial"/>
        </w:rPr>
      </w:pPr>
      <w:r w:rsidRPr="006F0EE9">
        <w:rPr>
          <w:rFonts w:ascii="Arial" w:eastAsiaTheme="minorEastAsia" w:hAnsi="Arial" w:cs="Arial"/>
        </w:rPr>
        <w:t>We:</w:t>
      </w:r>
    </w:p>
    <w:p w14:paraId="1461854A" w14:textId="77777777" w:rsidR="00B36F18" w:rsidRPr="006F0EE9" w:rsidRDefault="00B36F18" w:rsidP="00B36F18">
      <w:pPr>
        <w:numPr>
          <w:ilvl w:val="0"/>
          <w:numId w:val="22"/>
        </w:numPr>
        <w:spacing w:after="0" w:line="276" w:lineRule="auto"/>
        <w:jc w:val="both"/>
        <w:rPr>
          <w:rFonts w:ascii="Arial" w:eastAsiaTheme="minorEastAsia" w:hAnsi="Arial" w:cs="Arial"/>
        </w:rPr>
      </w:pPr>
      <w:r w:rsidRPr="006F0EE9">
        <w:rPr>
          <w:rFonts w:ascii="Arial" w:eastAsiaTheme="minorEastAsia" w:hAnsi="Arial" w:cs="Arial"/>
        </w:rPr>
        <w:t xml:space="preserve">carry out regular pay and benefits </w:t>
      </w:r>
      <w:proofErr w:type="gramStart"/>
      <w:r w:rsidRPr="006F0EE9">
        <w:rPr>
          <w:rFonts w:ascii="Arial" w:eastAsiaTheme="minorEastAsia" w:hAnsi="Arial" w:cs="Arial"/>
        </w:rPr>
        <w:t>audits;</w:t>
      </w:r>
      <w:proofErr w:type="gramEnd"/>
    </w:p>
    <w:p w14:paraId="7C431C7B" w14:textId="77777777" w:rsidR="00B36F18" w:rsidRDefault="00B36F18" w:rsidP="00B36F18">
      <w:pPr>
        <w:numPr>
          <w:ilvl w:val="0"/>
          <w:numId w:val="22"/>
        </w:numPr>
        <w:spacing w:after="0" w:line="276" w:lineRule="auto"/>
        <w:jc w:val="both"/>
        <w:rPr>
          <w:rFonts w:ascii="Arial" w:eastAsiaTheme="minorEastAsia" w:hAnsi="Arial" w:cs="Arial"/>
        </w:rPr>
      </w:pPr>
      <w:r w:rsidRPr="006F0EE9">
        <w:rPr>
          <w:rFonts w:ascii="Arial" w:eastAsiaTheme="minorEastAsia" w:hAnsi="Arial" w:cs="Arial"/>
        </w:rPr>
        <w:t>evaluate job roles and pay grades to ensure fairness.</w:t>
      </w:r>
    </w:p>
    <w:p w14:paraId="38DC714F" w14:textId="77777777" w:rsidR="00B36F18" w:rsidRPr="006F0EE9" w:rsidRDefault="00B36F18" w:rsidP="00B36F18">
      <w:pPr>
        <w:spacing w:after="0" w:line="276" w:lineRule="auto"/>
        <w:ind w:left="720"/>
        <w:jc w:val="both"/>
        <w:rPr>
          <w:rFonts w:ascii="Arial" w:eastAsiaTheme="minorEastAsia" w:hAnsi="Arial" w:cs="Arial"/>
        </w:rPr>
      </w:pPr>
    </w:p>
    <w:p w14:paraId="6706D73E" w14:textId="4A507DD1" w:rsidR="00B36F18" w:rsidRPr="00080630" w:rsidRDefault="02C5EFDE" w:rsidP="00080630">
      <w:pPr>
        <w:spacing w:after="0" w:line="276" w:lineRule="auto"/>
        <w:jc w:val="both"/>
        <w:rPr>
          <w:rFonts w:ascii="Arial" w:eastAsiaTheme="minorEastAsia" w:hAnsi="Arial" w:cs="Arial"/>
          <w:lang w:val="en-GB"/>
        </w:rPr>
      </w:pPr>
      <w:r w:rsidRPr="006F0EE9">
        <w:rPr>
          <w:rFonts w:ascii="Arial" w:eastAsiaTheme="minorEastAsia" w:hAnsi="Arial" w:cs="Arial"/>
          <w:lang w:val="en-GB"/>
        </w:rPr>
        <w:t>IRC UK's workforce is 75% women and 25% men</w:t>
      </w:r>
      <w:r w:rsidR="00B36F18">
        <w:rPr>
          <w:rFonts w:ascii="Arial" w:eastAsiaTheme="minorEastAsia" w:hAnsi="Arial" w:cs="Arial"/>
          <w:lang w:val="en-GB"/>
        </w:rPr>
        <w:t>,</w:t>
      </w:r>
      <w:r w:rsidRPr="006F0EE9">
        <w:rPr>
          <w:rFonts w:ascii="Arial" w:eastAsiaTheme="minorEastAsia" w:hAnsi="Arial" w:cs="Arial"/>
          <w:lang w:val="en-GB"/>
        </w:rPr>
        <w:t xml:space="preserve"> therefore relatively small changes in the distribution of men across the different pay quartiles can have a significant impact on our gender pay gap. We see fluctuations in our median pay gap month by month and year by year</w:t>
      </w:r>
      <w:r w:rsidR="00080630">
        <w:rPr>
          <w:rFonts w:ascii="Arial" w:eastAsiaTheme="minorEastAsia" w:hAnsi="Arial" w:cs="Arial"/>
          <w:lang w:val="en-GB"/>
        </w:rPr>
        <w:t>.</w:t>
      </w:r>
    </w:p>
    <w:p w14:paraId="5EFD4FCD" w14:textId="77777777" w:rsidR="004531B1" w:rsidRPr="006F0EE9" w:rsidRDefault="004531B1" w:rsidP="004531B1">
      <w:pPr>
        <w:spacing w:after="0" w:line="276" w:lineRule="auto"/>
        <w:ind w:left="720"/>
        <w:jc w:val="both"/>
        <w:rPr>
          <w:rFonts w:ascii="Arial" w:eastAsiaTheme="minorEastAsia" w:hAnsi="Arial" w:cs="Arial"/>
        </w:rPr>
      </w:pPr>
    </w:p>
    <w:p w14:paraId="5B61B76E" w14:textId="21EABEEB" w:rsidR="00D24CCE" w:rsidRPr="006F0EE9" w:rsidRDefault="00D24CCE" w:rsidP="176B079C">
      <w:pPr>
        <w:pStyle w:val="Heading2"/>
        <w:spacing w:before="0" w:line="276" w:lineRule="auto"/>
        <w:jc w:val="both"/>
        <w:rPr>
          <w:rFonts w:ascii="Arial" w:eastAsiaTheme="minorEastAsia" w:hAnsi="Arial" w:cs="Arial"/>
          <w:lang w:val="en-GB"/>
        </w:rPr>
      </w:pPr>
      <w:bookmarkStart w:id="1" w:name="_Hlk163053762"/>
      <w:bookmarkStart w:id="2" w:name="_Hlk63166635"/>
      <w:bookmarkEnd w:id="1"/>
    </w:p>
    <w:p w14:paraId="02698D29" w14:textId="31860C7D" w:rsidR="008C14C2" w:rsidRPr="006F0EE9" w:rsidRDefault="009C2360" w:rsidP="00196796">
      <w:pPr>
        <w:pStyle w:val="Heading2"/>
        <w:spacing w:before="0" w:line="276" w:lineRule="auto"/>
        <w:jc w:val="both"/>
        <w:rPr>
          <w:rFonts w:ascii="Arial" w:eastAsiaTheme="minorEastAsia" w:hAnsi="Arial" w:cs="Arial"/>
          <w:b/>
          <w:sz w:val="24"/>
          <w:szCs w:val="24"/>
          <w:lang w:val="en-GB"/>
        </w:rPr>
      </w:pPr>
      <w:r w:rsidRPr="006F0EE9">
        <w:rPr>
          <w:rFonts w:ascii="Arial" w:eastAsiaTheme="minorEastAsia" w:hAnsi="Arial" w:cs="Arial"/>
          <w:b/>
          <w:sz w:val="24"/>
          <w:szCs w:val="24"/>
          <w:lang w:val="en-GB"/>
        </w:rPr>
        <w:t>Compared with other organisations</w:t>
      </w:r>
    </w:p>
    <w:p w14:paraId="2658FC64" w14:textId="77777777" w:rsidR="008C14C2" w:rsidRPr="006F0EE9" w:rsidRDefault="008C14C2" w:rsidP="00196796">
      <w:pPr>
        <w:spacing w:after="0" w:line="276" w:lineRule="auto"/>
        <w:jc w:val="both"/>
        <w:rPr>
          <w:rFonts w:ascii="Arial" w:hAnsi="Arial" w:cs="Arial"/>
          <w:lang w:val="en-GB"/>
        </w:rPr>
      </w:pPr>
    </w:p>
    <w:p w14:paraId="2969E721" w14:textId="28B31843" w:rsidR="000B3D2A" w:rsidRPr="006F0EE9" w:rsidRDefault="000B3D2A" w:rsidP="20CC8C42">
      <w:pPr>
        <w:spacing w:after="0" w:line="276" w:lineRule="auto"/>
        <w:jc w:val="both"/>
        <w:rPr>
          <w:rFonts w:ascii="Arial" w:eastAsiaTheme="minorEastAsia" w:hAnsi="Arial" w:cs="Arial"/>
          <w:lang w:val="en-GB"/>
        </w:rPr>
      </w:pPr>
      <w:r w:rsidRPr="006F0EE9">
        <w:rPr>
          <w:rFonts w:ascii="Arial" w:eastAsiaTheme="minorEastAsia" w:hAnsi="Arial" w:cs="Arial"/>
          <w:lang w:val="en-GB"/>
        </w:rPr>
        <w:t>According to the 2024 Office for National Statistics (ONS) Annual Survey of Hours and Earnings (ASHE)</w:t>
      </w:r>
      <w:r w:rsidRPr="006F0EE9">
        <w:rPr>
          <w:rStyle w:val="FootnoteReference"/>
          <w:rFonts w:ascii="Arial" w:eastAsiaTheme="minorEastAsia" w:hAnsi="Arial" w:cs="Arial"/>
          <w:lang w:val="en-GB"/>
        </w:rPr>
        <w:footnoteReference w:id="2"/>
      </w:r>
      <w:r w:rsidRPr="006F0EE9">
        <w:rPr>
          <w:rFonts w:ascii="Arial" w:eastAsiaTheme="minorEastAsia" w:hAnsi="Arial" w:cs="Arial"/>
          <w:lang w:val="en-GB"/>
        </w:rPr>
        <w:t xml:space="preserve"> the estimated median gender </w:t>
      </w:r>
      <w:proofErr w:type="gramStart"/>
      <w:r w:rsidRPr="006F0EE9">
        <w:rPr>
          <w:rFonts w:ascii="Arial" w:eastAsiaTheme="minorEastAsia" w:hAnsi="Arial" w:cs="Arial"/>
          <w:lang w:val="en-GB"/>
        </w:rPr>
        <w:t>pay</w:t>
      </w:r>
      <w:proofErr w:type="gramEnd"/>
      <w:r w:rsidRPr="006F0EE9">
        <w:rPr>
          <w:rFonts w:ascii="Arial" w:eastAsiaTheme="minorEastAsia" w:hAnsi="Arial" w:cs="Arial"/>
          <w:lang w:val="en-GB"/>
        </w:rPr>
        <w:t xml:space="preserve"> gap for all employees was 13.1%. </w:t>
      </w:r>
    </w:p>
    <w:p w14:paraId="5ED49961" w14:textId="77777777" w:rsidR="000B3D2A" w:rsidRPr="006F0EE9" w:rsidRDefault="000B3D2A" w:rsidP="20CC8C42">
      <w:pPr>
        <w:spacing w:after="0" w:line="276" w:lineRule="auto"/>
        <w:jc w:val="both"/>
        <w:rPr>
          <w:rFonts w:ascii="Arial" w:eastAsiaTheme="minorEastAsia" w:hAnsi="Arial" w:cs="Arial"/>
          <w:lang w:val="en-GB"/>
        </w:rPr>
      </w:pPr>
    </w:p>
    <w:p w14:paraId="3C68CBAC" w14:textId="5CD866B6" w:rsidR="000B3D2A" w:rsidRPr="006F0EE9" w:rsidRDefault="000B3D2A" w:rsidP="2415B699">
      <w:pPr>
        <w:spacing w:after="0" w:line="276" w:lineRule="auto"/>
        <w:jc w:val="both"/>
        <w:rPr>
          <w:rFonts w:ascii="Arial" w:eastAsiaTheme="minorEastAsia" w:hAnsi="Arial" w:cs="Arial"/>
          <w:u w:val="single"/>
          <w:lang w:val="en-GB"/>
        </w:rPr>
      </w:pPr>
      <w:r w:rsidRPr="006F0EE9">
        <w:rPr>
          <w:rFonts w:ascii="Arial" w:eastAsiaTheme="minorEastAsia" w:hAnsi="Arial" w:cs="Arial"/>
          <w:lang w:val="en-GB"/>
        </w:rPr>
        <w:t>2,765 organisations reported their gender pay gap on the GOV.UK website</w:t>
      </w:r>
      <w:r w:rsidRPr="006F0EE9">
        <w:rPr>
          <w:rStyle w:val="FootnoteReference"/>
          <w:rFonts w:ascii="Arial" w:eastAsiaTheme="minorEastAsia" w:hAnsi="Arial" w:cs="Arial"/>
          <w:lang w:val="en-GB"/>
        </w:rPr>
        <w:footnoteReference w:id="3"/>
      </w:r>
      <w:r w:rsidRPr="006F0EE9">
        <w:rPr>
          <w:rFonts w:ascii="Arial" w:eastAsiaTheme="minorEastAsia" w:hAnsi="Arial" w:cs="Arial"/>
          <w:lang w:val="en-GB"/>
        </w:rPr>
        <w:t xml:space="preserve"> for 5</w:t>
      </w:r>
      <w:r w:rsidRPr="006F0EE9">
        <w:rPr>
          <w:rFonts w:ascii="Arial" w:eastAsiaTheme="minorEastAsia" w:hAnsi="Arial" w:cs="Arial"/>
          <w:vertAlign w:val="superscript"/>
          <w:lang w:val="en-GB"/>
        </w:rPr>
        <w:t>th</w:t>
      </w:r>
      <w:r w:rsidRPr="006F0EE9">
        <w:rPr>
          <w:rFonts w:ascii="Arial" w:eastAsiaTheme="minorEastAsia" w:hAnsi="Arial" w:cs="Arial"/>
          <w:lang w:val="en-GB"/>
        </w:rPr>
        <w:t xml:space="preserve"> April 2024</w:t>
      </w:r>
      <w:r w:rsidR="00F70764">
        <w:rPr>
          <w:rFonts w:ascii="Arial" w:eastAsiaTheme="minorEastAsia" w:hAnsi="Arial" w:cs="Arial"/>
          <w:lang w:val="en-GB"/>
        </w:rPr>
        <w:t>,</w:t>
      </w:r>
      <w:r w:rsidRPr="006F0EE9">
        <w:rPr>
          <w:rFonts w:ascii="Arial" w:eastAsiaTheme="minorEastAsia" w:hAnsi="Arial" w:cs="Arial"/>
          <w:lang w:val="en-GB"/>
        </w:rPr>
        <w:t xml:space="preserve"> when </w:t>
      </w:r>
      <w:r w:rsidR="00527CED" w:rsidRPr="006F0EE9">
        <w:rPr>
          <w:rFonts w:ascii="Arial" w:eastAsiaTheme="minorEastAsia" w:hAnsi="Arial" w:cs="Arial"/>
          <w:lang w:val="en-GB"/>
        </w:rPr>
        <w:t>the data for this report was collected</w:t>
      </w:r>
      <w:r w:rsidRPr="006F0EE9">
        <w:rPr>
          <w:rFonts w:ascii="Arial" w:eastAsiaTheme="minorEastAsia" w:hAnsi="Arial" w:cs="Arial"/>
          <w:lang w:val="en-GB"/>
        </w:rPr>
        <w:t xml:space="preserve">. According to the reported figures, </w:t>
      </w:r>
      <w:r w:rsidR="006555DC" w:rsidRPr="006F0EE9">
        <w:rPr>
          <w:rFonts w:ascii="Arial" w:eastAsiaTheme="minorEastAsia" w:hAnsi="Arial" w:cs="Arial"/>
          <w:lang w:val="en-GB"/>
        </w:rPr>
        <w:t xml:space="preserve">of the 86 </w:t>
      </w:r>
      <w:r w:rsidRPr="006F0EE9">
        <w:rPr>
          <w:rFonts w:ascii="Arial" w:eastAsiaTheme="minorEastAsia" w:hAnsi="Arial" w:cs="Arial"/>
          <w:lang w:val="en-GB"/>
        </w:rPr>
        <w:t xml:space="preserve">non-profit organisations </w:t>
      </w:r>
      <w:r w:rsidR="006555DC" w:rsidRPr="006F0EE9">
        <w:rPr>
          <w:rFonts w:ascii="Arial" w:eastAsiaTheme="minorEastAsia" w:hAnsi="Arial" w:cs="Arial"/>
          <w:lang w:val="en-GB"/>
        </w:rPr>
        <w:t xml:space="preserve">that </w:t>
      </w:r>
      <w:r w:rsidRPr="006F0EE9">
        <w:rPr>
          <w:rFonts w:ascii="Arial" w:eastAsiaTheme="minorEastAsia" w:hAnsi="Arial" w:cs="Arial"/>
          <w:lang w:val="en-GB"/>
        </w:rPr>
        <w:t>fall into the same classification codes as IRC UK</w:t>
      </w:r>
      <w:r w:rsidRPr="006F0EE9">
        <w:rPr>
          <w:rStyle w:val="FootnoteReference"/>
          <w:rFonts w:ascii="Arial" w:eastAsiaTheme="minorEastAsia" w:hAnsi="Arial" w:cs="Arial"/>
          <w:lang w:val="en-GB"/>
        </w:rPr>
        <w:footnoteReference w:id="4"/>
      </w:r>
      <w:r w:rsidRPr="006F0EE9">
        <w:rPr>
          <w:rFonts w:ascii="Arial" w:eastAsiaTheme="minorEastAsia" w:hAnsi="Arial" w:cs="Arial"/>
          <w:lang w:val="en-GB"/>
        </w:rPr>
        <w:t>, the median gender pay gap is 2.9%</w:t>
      </w:r>
      <w:r w:rsidR="00F70764">
        <w:rPr>
          <w:rFonts w:ascii="Arial" w:eastAsiaTheme="minorEastAsia" w:hAnsi="Arial" w:cs="Arial"/>
          <w:lang w:val="en-GB"/>
        </w:rPr>
        <w:t>,</w:t>
      </w:r>
      <w:r w:rsidRPr="006F0EE9">
        <w:rPr>
          <w:rFonts w:ascii="Arial" w:eastAsiaTheme="minorEastAsia" w:hAnsi="Arial" w:cs="Arial"/>
          <w:lang w:val="en-GB"/>
        </w:rPr>
        <w:t xml:space="preserve"> and the mean gender pay gap is 6.7%.  </w:t>
      </w:r>
    </w:p>
    <w:p w14:paraId="26767ADB" w14:textId="3433E205" w:rsidR="69813FF3" w:rsidRPr="006F0EE9" w:rsidRDefault="69813FF3" w:rsidP="69813FF3">
      <w:pPr>
        <w:spacing w:after="0" w:line="276" w:lineRule="auto"/>
        <w:jc w:val="both"/>
        <w:rPr>
          <w:rFonts w:ascii="Arial" w:eastAsiaTheme="minorEastAsia" w:hAnsi="Arial" w:cs="Arial"/>
          <w:lang w:val="en-GB"/>
        </w:rPr>
      </w:pPr>
    </w:p>
    <w:bookmarkEnd w:id="2"/>
    <w:p w14:paraId="1F3A8C95" w14:textId="34A2021F" w:rsidR="495CA3C4" w:rsidRPr="006F0EE9" w:rsidRDefault="2415B699" w:rsidP="2415B699">
      <w:pPr>
        <w:spacing w:after="0" w:line="276" w:lineRule="auto"/>
        <w:jc w:val="both"/>
        <w:rPr>
          <w:rFonts w:ascii="Arial" w:eastAsiaTheme="minorEastAsia" w:hAnsi="Arial" w:cs="Arial"/>
          <w:lang w:val="en-GB"/>
        </w:rPr>
      </w:pPr>
      <w:r w:rsidRPr="006F0EE9">
        <w:rPr>
          <w:rFonts w:ascii="Arial" w:eastAsiaTheme="minorEastAsia" w:hAnsi="Arial" w:cs="Arial"/>
          <w:lang w:val="en-GB"/>
        </w:rPr>
        <w:t xml:space="preserve">IRC UK has a </w:t>
      </w:r>
      <w:r w:rsidR="00457652">
        <w:rPr>
          <w:rFonts w:ascii="Arial" w:eastAsiaTheme="minorEastAsia" w:hAnsi="Arial" w:cs="Arial"/>
          <w:lang w:val="en-GB"/>
        </w:rPr>
        <w:t>higher mean and median gender gap compared to the</w:t>
      </w:r>
      <w:r w:rsidR="00F848BF">
        <w:rPr>
          <w:rFonts w:ascii="Arial" w:eastAsiaTheme="minorEastAsia" w:hAnsi="Arial" w:cs="Arial"/>
          <w:lang w:val="en-GB"/>
        </w:rPr>
        <w:t xml:space="preserve"> </w:t>
      </w:r>
      <w:r w:rsidRPr="006F0EE9">
        <w:rPr>
          <w:rFonts w:ascii="Arial" w:eastAsiaTheme="minorEastAsia" w:hAnsi="Arial" w:cs="Arial"/>
          <w:lang w:val="en-GB"/>
        </w:rPr>
        <w:t xml:space="preserve">Pay Club </w:t>
      </w:r>
      <w:r w:rsidR="00F848BF">
        <w:rPr>
          <w:rFonts w:ascii="Arial" w:eastAsiaTheme="minorEastAsia" w:hAnsi="Arial" w:cs="Arial"/>
          <w:lang w:val="en-GB"/>
        </w:rPr>
        <w:t>(</w:t>
      </w:r>
      <w:r w:rsidRPr="006F0EE9">
        <w:rPr>
          <w:rFonts w:ascii="Arial" w:eastAsiaTheme="minorEastAsia" w:hAnsi="Arial" w:cs="Arial"/>
          <w:lang w:val="en-GB"/>
        </w:rPr>
        <w:t>9.9%</w:t>
      </w:r>
      <w:r w:rsidR="00F848BF">
        <w:rPr>
          <w:rFonts w:ascii="Arial" w:eastAsiaTheme="minorEastAsia" w:hAnsi="Arial" w:cs="Arial"/>
          <w:lang w:val="en-GB"/>
        </w:rPr>
        <w:t>) and</w:t>
      </w:r>
      <w:r w:rsidRPr="006F0EE9">
        <w:rPr>
          <w:rFonts w:ascii="Arial" w:eastAsiaTheme="minorEastAsia" w:hAnsi="Arial" w:cs="Arial"/>
          <w:lang w:val="en-GB"/>
        </w:rPr>
        <w:t xml:space="preserve"> GOVUK </w:t>
      </w:r>
      <w:r w:rsidR="00F848BF">
        <w:rPr>
          <w:rFonts w:ascii="Arial" w:eastAsiaTheme="minorEastAsia" w:hAnsi="Arial" w:cs="Arial"/>
          <w:lang w:val="en-GB"/>
        </w:rPr>
        <w:t>(</w:t>
      </w:r>
      <w:r w:rsidRPr="006F0EE9">
        <w:rPr>
          <w:rFonts w:ascii="Arial" w:eastAsiaTheme="minorEastAsia" w:hAnsi="Arial" w:cs="Arial"/>
          <w:lang w:val="en-GB"/>
        </w:rPr>
        <w:t>6.7%</w:t>
      </w:r>
      <w:r w:rsidR="00F848BF">
        <w:rPr>
          <w:rFonts w:ascii="Arial" w:eastAsiaTheme="minorEastAsia" w:hAnsi="Arial" w:cs="Arial"/>
          <w:lang w:val="en-GB"/>
        </w:rPr>
        <w:t>).</w:t>
      </w:r>
      <w:r w:rsidRPr="006F0EE9">
        <w:rPr>
          <w:rFonts w:ascii="Arial" w:eastAsiaTheme="minorEastAsia" w:hAnsi="Arial" w:cs="Arial"/>
          <w:lang w:val="en-GB"/>
        </w:rPr>
        <w:t xml:space="preserve"> </w:t>
      </w:r>
      <w:r w:rsidR="002147E4">
        <w:rPr>
          <w:rFonts w:ascii="Arial" w:eastAsiaTheme="minorEastAsia" w:hAnsi="Arial" w:cs="Arial"/>
          <w:lang w:val="en-GB"/>
        </w:rPr>
        <w:t xml:space="preserve">IRC UK also has a slightly higher median pay gap than </w:t>
      </w:r>
      <w:r w:rsidRPr="006F0EE9">
        <w:rPr>
          <w:rFonts w:ascii="Arial" w:eastAsiaTheme="minorEastAsia" w:hAnsi="Arial" w:cs="Arial"/>
          <w:lang w:val="en-GB"/>
        </w:rPr>
        <w:t>ONS</w:t>
      </w:r>
      <w:r w:rsidR="002147E4">
        <w:rPr>
          <w:rFonts w:ascii="Arial" w:eastAsiaTheme="minorEastAsia" w:hAnsi="Arial" w:cs="Arial"/>
          <w:lang w:val="en-GB"/>
        </w:rPr>
        <w:t>, which</w:t>
      </w:r>
      <w:r w:rsidRPr="006F0EE9">
        <w:rPr>
          <w:rFonts w:ascii="Arial" w:eastAsiaTheme="minorEastAsia" w:hAnsi="Arial" w:cs="Arial"/>
          <w:lang w:val="en-GB"/>
        </w:rPr>
        <w:t xml:space="preserve"> </w:t>
      </w:r>
      <w:r w:rsidR="00457652">
        <w:rPr>
          <w:rFonts w:ascii="Arial" w:eastAsiaTheme="minorEastAsia" w:hAnsi="Arial" w:cs="Arial"/>
          <w:lang w:val="en-GB"/>
        </w:rPr>
        <w:t>only publishes the median pay gap</w:t>
      </w:r>
      <w:r w:rsidRPr="006F0EE9">
        <w:rPr>
          <w:rFonts w:ascii="Arial" w:eastAsiaTheme="minorEastAsia" w:hAnsi="Arial" w:cs="Arial"/>
          <w:lang w:val="en-GB"/>
        </w:rPr>
        <w:t>.</w:t>
      </w:r>
    </w:p>
    <w:p w14:paraId="5FDBE657" w14:textId="621DEB10" w:rsidR="39DB87CC" w:rsidRPr="002147E4" w:rsidRDefault="495CA3C4" w:rsidP="002147E4">
      <w:pPr>
        <w:spacing w:after="0" w:line="276" w:lineRule="auto"/>
        <w:rPr>
          <w:rFonts w:ascii="Arial" w:hAnsi="Arial" w:cs="Arial"/>
        </w:rPr>
      </w:pPr>
      <w:r w:rsidRPr="006F0EE9">
        <w:rPr>
          <w:rFonts w:ascii="Arial" w:hAnsi="Arial" w:cs="Arial"/>
          <w:noProof/>
        </w:rPr>
        <w:lastRenderedPageBreak/>
        <w:drawing>
          <wp:inline distT="0" distB="0" distL="0" distR="0" wp14:anchorId="48F54B89" wp14:editId="00C358E9">
            <wp:extent cx="5553075" cy="3427926"/>
            <wp:effectExtent l="0" t="0" r="0" b="1270"/>
            <wp:docPr id="467833050" name="Picture 467833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571054" cy="3439025"/>
                    </a:xfrm>
                    <a:prstGeom prst="rect">
                      <a:avLst/>
                    </a:prstGeom>
                  </pic:spPr>
                </pic:pic>
              </a:graphicData>
            </a:graphic>
          </wp:inline>
        </w:drawing>
      </w:r>
    </w:p>
    <w:p w14:paraId="5BB83009" w14:textId="4417A967" w:rsidR="002147E4" w:rsidRPr="002147E4" w:rsidRDefault="009C2360" w:rsidP="002147E4">
      <w:pPr>
        <w:pStyle w:val="Heading2"/>
        <w:spacing w:before="0" w:line="276" w:lineRule="auto"/>
        <w:jc w:val="both"/>
        <w:rPr>
          <w:rFonts w:ascii="Arial" w:eastAsiaTheme="minorEastAsia" w:hAnsi="Arial" w:cs="Arial"/>
          <w:b/>
          <w:sz w:val="24"/>
          <w:szCs w:val="24"/>
          <w:lang w:val="en-GB"/>
        </w:rPr>
      </w:pPr>
      <w:bookmarkStart w:id="3" w:name="_Hlk168224130"/>
      <w:r w:rsidRPr="006F0EE9">
        <w:rPr>
          <w:rFonts w:ascii="Arial" w:eastAsiaTheme="minorEastAsia" w:hAnsi="Arial" w:cs="Arial"/>
          <w:b/>
          <w:sz w:val="24"/>
          <w:szCs w:val="24"/>
          <w:lang w:val="en-GB"/>
        </w:rPr>
        <w:t>Addressing IRC UK’s gender pay differences</w:t>
      </w:r>
      <w:bookmarkEnd w:id="3"/>
    </w:p>
    <w:p w14:paraId="3B38A58B" w14:textId="47F34C05" w:rsidR="009C2360" w:rsidRPr="001E04DC" w:rsidRDefault="009C2360" w:rsidP="002147E4">
      <w:pPr>
        <w:spacing w:before="240" w:line="276" w:lineRule="auto"/>
        <w:jc w:val="both"/>
        <w:rPr>
          <w:rFonts w:ascii="Arial" w:hAnsi="Arial" w:cs="Arial"/>
        </w:rPr>
      </w:pPr>
      <w:r w:rsidRPr="001E04DC">
        <w:rPr>
          <w:rFonts w:ascii="Arial" w:hAnsi="Arial" w:cs="Arial"/>
        </w:rPr>
        <w:t xml:space="preserve">To understand better what drives our </w:t>
      </w:r>
      <w:proofErr w:type="gramStart"/>
      <w:r w:rsidRPr="001E04DC">
        <w:rPr>
          <w:rFonts w:ascii="Arial" w:hAnsi="Arial" w:cs="Arial"/>
        </w:rPr>
        <w:t>gender</w:t>
      </w:r>
      <w:proofErr w:type="gramEnd"/>
      <w:r w:rsidRPr="001E04DC">
        <w:rPr>
          <w:rFonts w:ascii="Arial" w:hAnsi="Arial" w:cs="Arial"/>
        </w:rPr>
        <w:t xml:space="preserve"> pay gap, we monitor salary and promotion trends throughout the year and conduct regular pay benchmarking. Salary scales are updated in line with results and are accessible on our intranet for all staff to review.</w:t>
      </w:r>
    </w:p>
    <w:p w14:paraId="318BE18C" w14:textId="2A70D84D" w:rsidR="000D2164" w:rsidRPr="001E04DC" w:rsidRDefault="009C2360" w:rsidP="001E04DC">
      <w:pPr>
        <w:spacing w:line="276" w:lineRule="auto"/>
        <w:jc w:val="both"/>
        <w:rPr>
          <w:rFonts w:ascii="Arial" w:hAnsi="Arial" w:cs="Arial"/>
        </w:rPr>
      </w:pPr>
      <w:r w:rsidRPr="001E04DC">
        <w:rPr>
          <w:rFonts w:ascii="Arial" w:hAnsi="Arial" w:cs="Arial"/>
        </w:rPr>
        <w:t xml:space="preserve">We aim to be as transparent as possible regarding the pay range for roles we advertise. We ensure selection pools and panels are gender-balanced and guide managers outside the UK who wish to recruit in the UK to ensure this is </w:t>
      </w:r>
      <w:proofErr w:type="spellStart"/>
      <w:r w:rsidRPr="001E04DC">
        <w:rPr>
          <w:rFonts w:ascii="Arial" w:hAnsi="Arial" w:cs="Arial"/>
        </w:rPr>
        <w:t>standardi</w:t>
      </w:r>
      <w:r w:rsidR="00D371D7" w:rsidRPr="001E04DC">
        <w:rPr>
          <w:rFonts w:ascii="Arial" w:hAnsi="Arial" w:cs="Arial"/>
        </w:rPr>
        <w:t>s</w:t>
      </w:r>
      <w:r w:rsidRPr="001E04DC">
        <w:rPr>
          <w:rFonts w:ascii="Arial" w:hAnsi="Arial" w:cs="Arial"/>
        </w:rPr>
        <w:t>ed</w:t>
      </w:r>
      <w:proofErr w:type="spellEnd"/>
      <w:r w:rsidRPr="001E04DC">
        <w:rPr>
          <w:rFonts w:ascii="Arial" w:hAnsi="Arial" w:cs="Arial"/>
        </w:rPr>
        <w:t>.</w:t>
      </w:r>
    </w:p>
    <w:p w14:paraId="0E277163" w14:textId="77777777" w:rsidR="009C2360" w:rsidRPr="001E04DC" w:rsidRDefault="009C2360" w:rsidP="001E04DC">
      <w:pPr>
        <w:spacing w:line="276" w:lineRule="auto"/>
        <w:jc w:val="both"/>
        <w:rPr>
          <w:rFonts w:ascii="Arial" w:hAnsi="Arial" w:cs="Arial"/>
        </w:rPr>
      </w:pPr>
      <w:r w:rsidRPr="001E04DC">
        <w:rPr>
          <w:rFonts w:ascii="Arial" w:hAnsi="Arial" w:cs="Arial"/>
        </w:rPr>
        <w:t xml:space="preserve">We regularly provide refresher training for managers and staff members involved in pay reviews in hiring and promotions. </w:t>
      </w:r>
    </w:p>
    <w:p w14:paraId="0C74C732" w14:textId="77777777" w:rsidR="00A6583C" w:rsidRPr="001E04DC" w:rsidRDefault="009C2360" w:rsidP="001E04DC">
      <w:pPr>
        <w:spacing w:line="276" w:lineRule="auto"/>
        <w:jc w:val="both"/>
        <w:rPr>
          <w:rFonts w:ascii="Arial" w:hAnsi="Arial" w:cs="Arial"/>
        </w:rPr>
      </w:pPr>
      <w:r w:rsidRPr="001E04DC">
        <w:rPr>
          <w:rFonts w:ascii="Arial" w:hAnsi="Arial" w:cs="Arial"/>
        </w:rPr>
        <w:t>We are committed to encouraging more flexibility in senior-level roles so that women and men can take these on regardless of their caring responsibilities. We offer enhanced paternity/co-parental leave from the first day of employment to make it easier for both parents to share childcaring responsibilities and review other family-friendly policies regularly to the same end</w:t>
      </w:r>
      <w:r w:rsidR="00A347FC" w:rsidRPr="001E04DC">
        <w:rPr>
          <w:rFonts w:ascii="Arial" w:hAnsi="Arial" w:cs="Arial"/>
        </w:rPr>
        <w:t>.</w:t>
      </w:r>
    </w:p>
    <w:p w14:paraId="151723D5" w14:textId="0C710065" w:rsidR="000D2164" w:rsidRPr="001E04DC" w:rsidRDefault="000D2164" w:rsidP="001E04DC">
      <w:pPr>
        <w:spacing w:line="276" w:lineRule="auto"/>
        <w:jc w:val="both"/>
        <w:rPr>
          <w:rFonts w:ascii="Arial" w:hAnsi="Arial" w:cs="Arial"/>
        </w:rPr>
      </w:pPr>
    </w:p>
    <w:sectPr w:rsidR="000D2164" w:rsidRPr="001E04DC" w:rsidSect="00913569">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B054" w14:textId="77777777" w:rsidR="002F5CE1" w:rsidRDefault="002F5CE1" w:rsidP="00CA029C">
      <w:pPr>
        <w:spacing w:after="0" w:line="240" w:lineRule="auto"/>
      </w:pPr>
      <w:r>
        <w:separator/>
      </w:r>
    </w:p>
  </w:endnote>
  <w:endnote w:type="continuationSeparator" w:id="0">
    <w:p w14:paraId="17C81565" w14:textId="77777777" w:rsidR="002F5CE1" w:rsidRDefault="002F5CE1" w:rsidP="00CA029C">
      <w:pPr>
        <w:spacing w:after="0" w:line="240" w:lineRule="auto"/>
      </w:pPr>
      <w:r>
        <w:continuationSeparator/>
      </w:r>
    </w:p>
  </w:endnote>
  <w:endnote w:type="continuationNotice" w:id="1">
    <w:p w14:paraId="28928FFF" w14:textId="77777777" w:rsidR="002F5CE1" w:rsidRDefault="002F5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269919"/>
      <w:docPartObj>
        <w:docPartGallery w:val="Page Numbers (Bottom of Page)"/>
        <w:docPartUnique/>
      </w:docPartObj>
    </w:sdtPr>
    <w:sdtEndPr>
      <w:rPr>
        <w:rFonts w:asciiTheme="minorBidi" w:hAnsiTheme="minorBidi"/>
        <w:noProof/>
        <w:sz w:val="20"/>
        <w:szCs w:val="20"/>
      </w:rPr>
    </w:sdtEndPr>
    <w:sdtContent>
      <w:p w14:paraId="2A1DDFC6" w14:textId="7B87A559" w:rsidR="00470E90" w:rsidRPr="002147E4" w:rsidRDefault="001E04DC" w:rsidP="00080630">
        <w:pPr>
          <w:pStyle w:val="Footer"/>
          <w:jc w:val="right"/>
          <w:rPr>
            <w:rFonts w:asciiTheme="minorBidi" w:hAnsiTheme="minorBidi"/>
            <w:sz w:val="20"/>
            <w:szCs w:val="20"/>
          </w:rPr>
        </w:pPr>
        <w:r w:rsidRPr="002147E4">
          <w:rPr>
            <w:rFonts w:asciiTheme="minorBidi" w:hAnsiTheme="minorBidi"/>
            <w:sz w:val="20"/>
            <w:szCs w:val="20"/>
          </w:rPr>
          <w:fldChar w:fldCharType="begin"/>
        </w:r>
        <w:r w:rsidRPr="002147E4">
          <w:rPr>
            <w:rFonts w:asciiTheme="minorBidi" w:hAnsiTheme="minorBidi"/>
            <w:sz w:val="20"/>
            <w:szCs w:val="20"/>
          </w:rPr>
          <w:instrText xml:space="preserve"> PAGE   \* MERGEFORMAT </w:instrText>
        </w:r>
        <w:r w:rsidRPr="002147E4">
          <w:rPr>
            <w:rFonts w:asciiTheme="minorBidi" w:hAnsiTheme="minorBidi"/>
            <w:sz w:val="20"/>
            <w:szCs w:val="20"/>
          </w:rPr>
          <w:fldChar w:fldCharType="separate"/>
        </w:r>
        <w:r w:rsidRPr="002147E4">
          <w:rPr>
            <w:rFonts w:asciiTheme="minorBidi" w:hAnsiTheme="minorBidi"/>
            <w:noProof/>
            <w:sz w:val="20"/>
            <w:szCs w:val="20"/>
          </w:rPr>
          <w:t>2</w:t>
        </w:r>
        <w:r w:rsidRPr="002147E4">
          <w:rPr>
            <w:rFonts w:asciiTheme="minorBidi" w:hAnsiTheme="minorBidi"/>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607869"/>
      <w:docPartObj>
        <w:docPartGallery w:val="Page Numbers (Bottom of Page)"/>
        <w:docPartUnique/>
      </w:docPartObj>
    </w:sdtPr>
    <w:sdtEndPr>
      <w:rPr>
        <w:noProof/>
      </w:rPr>
    </w:sdtEndPr>
    <w:sdtContent>
      <w:p w14:paraId="7182F4B4" w14:textId="6356360E" w:rsidR="00C25878" w:rsidRDefault="00C258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E44885" w14:textId="77777777" w:rsidR="008F480D" w:rsidRDefault="008F48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B04B6" w14:textId="77777777" w:rsidR="002F5CE1" w:rsidRDefault="002F5CE1" w:rsidP="00CA029C">
      <w:pPr>
        <w:spacing w:after="0" w:line="240" w:lineRule="auto"/>
      </w:pPr>
      <w:r>
        <w:separator/>
      </w:r>
    </w:p>
  </w:footnote>
  <w:footnote w:type="continuationSeparator" w:id="0">
    <w:p w14:paraId="4D1094B4" w14:textId="77777777" w:rsidR="002F5CE1" w:rsidRDefault="002F5CE1" w:rsidP="00CA029C">
      <w:pPr>
        <w:spacing w:after="0" w:line="240" w:lineRule="auto"/>
      </w:pPr>
      <w:r>
        <w:continuationSeparator/>
      </w:r>
    </w:p>
  </w:footnote>
  <w:footnote w:type="continuationNotice" w:id="1">
    <w:p w14:paraId="10498007" w14:textId="77777777" w:rsidR="002F5CE1" w:rsidRDefault="002F5CE1">
      <w:pPr>
        <w:spacing w:after="0" w:line="240" w:lineRule="auto"/>
      </w:pPr>
    </w:p>
  </w:footnote>
  <w:footnote w:id="2">
    <w:p w14:paraId="654397FB" w14:textId="057B974A" w:rsidR="00B065D4" w:rsidRDefault="00000000" w:rsidP="00B065D4">
      <w:pPr>
        <w:pStyle w:val="FootnoteText"/>
        <w:rPr>
          <w:rFonts w:ascii="Arial" w:hAnsi="Arial" w:cs="Arial"/>
        </w:rPr>
      </w:pPr>
      <w:hyperlink r:id="rId1" w:history="1">
        <w:r w:rsidR="00B065D4" w:rsidRPr="00D833C7">
          <w:rPr>
            <w:rStyle w:val="Hyperlink"/>
            <w:rFonts w:ascii="Arial" w:hAnsi="Arial" w:cs="Arial"/>
          </w:rPr>
          <w:t>https://www.ons.gov.uk/employmentandlabourmarket/peopleinwork/earningsandworkinghours/bulletins/genderpaygapintheuk/2024</w:t>
        </w:r>
      </w:hyperlink>
    </w:p>
    <w:p w14:paraId="44ED83EC" w14:textId="4990CD17" w:rsidR="00B065D4" w:rsidRPr="00B065D4" w:rsidRDefault="00000000" w:rsidP="00B065D4">
      <w:pPr>
        <w:pStyle w:val="FootnoteText"/>
        <w:rPr>
          <w:rFonts w:ascii="Arial" w:hAnsi="Arial" w:cs="Arial"/>
        </w:rPr>
      </w:pPr>
      <w:hyperlink r:id="rId2" w:history="1">
        <w:r w:rsidR="00B065D4" w:rsidRPr="00D833C7">
          <w:rPr>
            <w:rStyle w:val="Hyperlink"/>
            <w:rFonts w:ascii="Arial" w:hAnsi="Arial" w:cs="Arial"/>
          </w:rPr>
          <w:t>https://gender-pay-gap.service.gov.uk/</w:t>
        </w:r>
      </w:hyperlink>
    </w:p>
  </w:footnote>
  <w:footnote w:id="3">
    <w:p w14:paraId="76B6D354" w14:textId="5ED624C4" w:rsidR="00B065D4" w:rsidRPr="006F0EE9" w:rsidRDefault="000B3D2A" w:rsidP="00B065D4">
      <w:pPr>
        <w:pStyle w:val="FootnoteText"/>
        <w:rPr>
          <w:rFonts w:ascii="Arial" w:hAnsi="Arial" w:cs="Arial"/>
        </w:rPr>
      </w:pPr>
      <w:r w:rsidRPr="006F0EE9">
        <w:rPr>
          <w:rFonts w:ascii="Arial" w:hAnsi="Arial" w:cs="Arial"/>
        </w:rPr>
        <w:t>SIC Codes 85600,86900,88990, and 94990</w:t>
      </w:r>
    </w:p>
  </w:footnote>
  <w:footnote w:id="4">
    <w:p w14:paraId="454AF5CC" w14:textId="77777777" w:rsidR="000B3D2A" w:rsidRDefault="000B3D2A" w:rsidP="000B3D2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9C89" w14:textId="2ECC05DF" w:rsidR="00336B51" w:rsidRDefault="77199A68" w:rsidP="00336B51">
    <w:pPr>
      <w:pStyle w:val="Header"/>
      <w:jc w:val="center"/>
    </w:pPr>
    <w:r>
      <w:t>IRC UK Gender Pay Gap Report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F1A8" w14:textId="5D4C5AF4" w:rsidR="001379CA" w:rsidRPr="00A308D8" w:rsidRDefault="0001561A" w:rsidP="001379CA">
    <w:pPr>
      <w:pStyle w:val="Header"/>
      <w:jc w:val="center"/>
      <w:rPr>
        <w:rFonts w:asciiTheme="minorBidi" w:hAnsiTheme="minorBidi"/>
        <w:sz w:val="20"/>
        <w:szCs w:val="20"/>
      </w:rPr>
    </w:pPr>
    <w:r w:rsidRPr="00A308D8">
      <w:rPr>
        <w:rFonts w:asciiTheme="minorBidi" w:hAnsiTheme="minorBidi"/>
        <w:sz w:val="20"/>
        <w:szCs w:val="20"/>
      </w:rPr>
      <w:t xml:space="preserve"> </w:t>
    </w:r>
    <w:r w:rsidR="001379CA" w:rsidRPr="00A308D8">
      <w:rPr>
        <w:rFonts w:asciiTheme="minorBidi" w:hAnsiTheme="minorBidi"/>
        <w:sz w:val="20"/>
        <w:szCs w:val="20"/>
      </w:rPr>
      <w:t>IRC UK Gender Pay Gap Report 202</w:t>
    </w:r>
    <w:r w:rsidR="00D44C78" w:rsidRPr="00A308D8">
      <w:rPr>
        <w:rFonts w:asciiTheme="minorBidi" w:hAnsiTheme="minorBidi"/>
        <w:sz w:val="20"/>
        <w:szCs w:val="20"/>
      </w:rPr>
      <w:t>4</w:t>
    </w:r>
  </w:p>
  <w:p w14:paraId="5F7953E8" w14:textId="2B41B38D" w:rsidR="00E03CC1" w:rsidRDefault="00E03CC1" w:rsidP="00E03C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E04"/>
    <w:multiLevelType w:val="hybridMultilevel"/>
    <w:tmpl w:val="2D40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E1905"/>
    <w:multiLevelType w:val="hybridMultilevel"/>
    <w:tmpl w:val="2BC0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E57FE"/>
    <w:multiLevelType w:val="multilevel"/>
    <w:tmpl w:val="FAC8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E1C16"/>
    <w:multiLevelType w:val="multilevel"/>
    <w:tmpl w:val="58A63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D603B"/>
    <w:multiLevelType w:val="hybridMultilevel"/>
    <w:tmpl w:val="13AE6164"/>
    <w:lvl w:ilvl="0" w:tplc="526A025E">
      <w:start w:val="2"/>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64A3E"/>
    <w:multiLevelType w:val="multilevel"/>
    <w:tmpl w:val="DF1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B8CB6C"/>
    <w:multiLevelType w:val="hybridMultilevel"/>
    <w:tmpl w:val="FB442D0E"/>
    <w:lvl w:ilvl="0" w:tplc="DA36DD30">
      <w:start w:val="1"/>
      <w:numFmt w:val="bullet"/>
      <w:lvlText w:val=""/>
      <w:lvlJc w:val="left"/>
      <w:pPr>
        <w:ind w:left="720" w:hanging="360"/>
      </w:pPr>
      <w:rPr>
        <w:rFonts w:ascii="Symbol" w:hAnsi="Symbol" w:hint="default"/>
      </w:rPr>
    </w:lvl>
    <w:lvl w:ilvl="1" w:tplc="20B63B72">
      <w:start w:val="1"/>
      <w:numFmt w:val="bullet"/>
      <w:lvlText w:val="o"/>
      <w:lvlJc w:val="left"/>
      <w:pPr>
        <w:ind w:left="1440" w:hanging="360"/>
      </w:pPr>
      <w:rPr>
        <w:rFonts w:ascii="Courier New" w:hAnsi="Courier New" w:hint="default"/>
      </w:rPr>
    </w:lvl>
    <w:lvl w:ilvl="2" w:tplc="0C987CDA">
      <w:start w:val="1"/>
      <w:numFmt w:val="bullet"/>
      <w:lvlText w:val=""/>
      <w:lvlJc w:val="left"/>
      <w:pPr>
        <w:ind w:left="2160" w:hanging="360"/>
      </w:pPr>
      <w:rPr>
        <w:rFonts w:ascii="Wingdings" w:hAnsi="Wingdings" w:hint="default"/>
      </w:rPr>
    </w:lvl>
    <w:lvl w:ilvl="3" w:tplc="1DC21A26">
      <w:start w:val="1"/>
      <w:numFmt w:val="bullet"/>
      <w:lvlText w:val=""/>
      <w:lvlJc w:val="left"/>
      <w:pPr>
        <w:ind w:left="2880" w:hanging="360"/>
      </w:pPr>
      <w:rPr>
        <w:rFonts w:ascii="Symbol" w:hAnsi="Symbol" w:hint="default"/>
      </w:rPr>
    </w:lvl>
    <w:lvl w:ilvl="4" w:tplc="80C0C626">
      <w:start w:val="1"/>
      <w:numFmt w:val="bullet"/>
      <w:lvlText w:val="o"/>
      <w:lvlJc w:val="left"/>
      <w:pPr>
        <w:ind w:left="3600" w:hanging="360"/>
      </w:pPr>
      <w:rPr>
        <w:rFonts w:ascii="Courier New" w:hAnsi="Courier New" w:hint="default"/>
      </w:rPr>
    </w:lvl>
    <w:lvl w:ilvl="5" w:tplc="1C508A64">
      <w:start w:val="1"/>
      <w:numFmt w:val="bullet"/>
      <w:lvlText w:val=""/>
      <w:lvlJc w:val="left"/>
      <w:pPr>
        <w:ind w:left="4320" w:hanging="360"/>
      </w:pPr>
      <w:rPr>
        <w:rFonts w:ascii="Wingdings" w:hAnsi="Wingdings" w:hint="default"/>
      </w:rPr>
    </w:lvl>
    <w:lvl w:ilvl="6" w:tplc="BBA89400">
      <w:start w:val="1"/>
      <w:numFmt w:val="bullet"/>
      <w:lvlText w:val=""/>
      <w:lvlJc w:val="left"/>
      <w:pPr>
        <w:ind w:left="5040" w:hanging="360"/>
      </w:pPr>
      <w:rPr>
        <w:rFonts w:ascii="Symbol" w:hAnsi="Symbol" w:hint="default"/>
      </w:rPr>
    </w:lvl>
    <w:lvl w:ilvl="7" w:tplc="2E445BEE">
      <w:start w:val="1"/>
      <w:numFmt w:val="bullet"/>
      <w:lvlText w:val="o"/>
      <w:lvlJc w:val="left"/>
      <w:pPr>
        <w:ind w:left="5760" w:hanging="360"/>
      </w:pPr>
      <w:rPr>
        <w:rFonts w:ascii="Courier New" w:hAnsi="Courier New" w:hint="default"/>
      </w:rPr>
    </w:lvl>
    <w:lvl w:ilvl="8" w:tplc="1D5EFEB0">
      <w:start w:val="1"/>
      <w:numFmt w:val="bullet"/>
      <w:lvlText w:val=""/>
      <w:lvlJc w:val="left"/>
      <w:pPr>
        <w:ind w:left="6480" w:hanging="360"/>
      </w:pPr>
      <w:rPr>
        <w:rFonts w:ascii="Wingdings" w:hAnsi="Wingdings" w:hint="default"/>
      </w:rPr>
    </w:lvl>
  </w:abstractNum>
  <w:abstractNum w:abstractNumId="7" w15:restartNumberingAfterBreak="0">
    <w:nsid w:val="20076A16"/>
    <w:multiLevelType w:val="multilevel"/>
    <w:tmpl w:val="44780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4142B"/>
    <w:multiLevelType w:val="hybridMultilevel"/>
    <w:tmpl w:val="C376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B61447"/>
    <w:multiLevelType w:val="hybridMultilevel"/>
    <w:tmpl w:val="3C40B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980D06"/>
    <w:multiLevelType w:val="multilevel"/>
    <w:tmpl w:val="92A0A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5A09E9"/>
    <w:multiLevelType w:val="multilevel"/>
    <w:tmpl w:val="CEEE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FD5E1D"/>
    <w:multiLevelType w:val="hybridMultilevel"/>
    <w:tmpl w:val="582E7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A61310"/>
    <w:multiLevelType w:val="multilevel"/>
    <w:tmpl w:val="E5E4F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761B08"/>
    <w:multiLevelType w:val="hybridMultilevel"/>
    <w:tmpl w:val="5A806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35E66"/>
    <w:multiLevelType w:val="multilevel"/>
    <w:tmpl w:val="91BA1C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D55371"/>
    <w:multiLevelType w:val="hybridMultilevel"/>
    <w:tmpl w:val="EB140C72"/>
    <w:lvl w:ilvl="0" w:tplc="F45C2724">
      <w:start w:val="2"/>
      <w:numFmt w:val="decimal"/>
      <w:lvlText w:val="%1."/>
      <w:lvlJc w:val="left"/>
      <w:pPr>
        <w:ind w:left="720" w:hanging="360"/>
      </w:pPr>
      <w:rPr>
        <w:rFonts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43B35"/>
    <w:multiLevelType w:val="hybridMultilevel"/>
    <w:tmpl w:val="52BE9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4A6326"/>
    <w:multiLevelType w:val="multilevel"/>
    <w:tmpl w:val="04E4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D83D8D"/>
    <w:multiLevelType w:val="multilevel"/>
    <w:tmpl w:val="30BE6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637FB6"/>
    <w:multiLevelType w:val="hybridMultilevel"/>
    <w:tmpl w:val="7BD28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A85DB2"/>
    <w:multiLevelType w:val="hybridMultilevel"/>
    <w:tmpl w:val="239A12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68123B6"/>
    <w:multiLevelType w:val="hybridMultilevel"/>
    <w:tmpl w:val="3B8E2C32"/>
    <w:lvl w:ilvl="0" w:tplc="F5660F10">
      <w:numFmt w:val="bullet"/>
      <w:lvlText w:val="-"/>
      <w:lvlJc w:val="left"/>
      <w:pPr>
        <w:ind w:left="720" w:hanging="360"/>
      </w:pPr>
      <w:rPr>
        <w:rFonts w:ascii="Arial" w:eastAsiaTheme="minorEastAsia"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8347275"/>
    <w:multiLevelType w:val="hybridMultilevel"/>
    <w:tmpl w:val="8982D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79150A"/>
    <w:multiLevelType w:val="hybridMultilevel"/>
    <w:tmpl w:val="A590F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2BC631A"/>
    <w:multiLevelType w:val="hybridMultilevel"/>
    <w:tmpl w:val="F386DDC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7CD603EF"/>
    <w:multiLevelType w:val="hybridMultilevel"/>
    <w:tmpl w:val="35C412B0"/>
    <w:lvl w:ilvl="0" w:tplc="591CE9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7C33D6"/>
    <w:multiLevelType w:val="multilevel"/>
    <w:tmpl w:val="C74A1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22910152">
    <w:abstractNumId w:val="6"/>
  </w:num>
  <w:num w:numId="2" w16cid:durableId="1458793081">
    <w:abstractNumId w:val="15"/>
  </w:num>
  <w:num w:numId="3" w16cid:durableId="1509980344">
    <w:abstractNumId w:val="7"/>
  </w:num>
  <w:num w:numId="4" w16cid:durableId="79956261">
    <w:abstractNumId w:val="27"/>
  </w:num>
  <w:num w:numId="5" w16cid:durableId="3784075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983524">
    <w:abstractNumId w:val="24"/>
  </w:num>
  <w:num w:numId="7" w16cid:durableId="1742016930">
    <w:abstractNumId w:val="20"/>
  </w:num>
  <w:num w:numId="8" w16cid:durableId="1402093110">
    <w:abstractNumId w:val="12"/>
  </w:num>
  <w:num w:numId="9" w16cid:durableId="948507720">
    <w:abstractNumId w:val="16"/>
  </w:num>
  <w:num w:numId="10" w16cid:durableId="1551961637">
    <w:abstractNumId w:val="4"/>
  </w:num>
  <w:num w:numId="11" w16cid:durableId="1728725101">
    <w:abstractNumId w:val="23"/>
  </w:num>
  <w:num w:numId="12" w16cid:durableId="554437004">
    <w:abstractNumId w:val="25"/>
  </w:num>
  <w:num w:numId="13" w16cid:durableId="1588075245">
    <w:abstractNumId w:val="8"/>
  </w:num>
  <w:num w:numId="14" w16cid:durableId="168106565">
    <w:abstractNumId w:val="1"/>
  </w:num>
  <w:num w:numId="15" w16cid:durableId="684937789">
    <w:abstractNumId w:val="17"/>
  </w:num>
  <w:num w:numId="16" w16cid:durableId="1502894738">
    <w:abstractNumId w:val="3"/>
  </w:num>
  <w:num w:numId="17" w16cid:durableId="1355768060">
    <w:abstractNumId w:val="10"/>
  </w:num>
  <w:num w:numId="18" w16cid:durableId="2030795942">
    <w:abstractNumId w:val="19"/>
  </w:num>
  <w:num w:numId="19" w16cid:durableId="1149445204">
    <w:abstractNumId w:val="18"/>
  </w:num>
  <w:num w:numId="20" w16cid:durableId="1878161508">
    <w:abstractNumId w:val="11"/>
  </w:num>
  <w:num w:numId="21" w16cid:durableId="2071295942">
    <w:abstractNumId w:val="5"/>
  </w:num>
  <w:num w:numId="22" w16cid:durableId="899511941">
    <w:abstractNumId w:val="13"/>
  </w:num>
  <w:num w:numId="23" w16cid:durableId="214507162">
    <w:abstractNumId w:val="9"/>
  </w:num>
  <w:num w:numId="24" w16cid:durableId="1988700060">
    <w:abstractNumId w:val="2"/>
    <w:lvlOverride w:ilvl="0">
      <w:lvl w:ilvl="0">
        <w:numFmt w:val="decimal"/>
        <w:lvlText w:val=""/>
        <w:lvlJc w:val="left"/>
      </w:lvl>
    </w:lvlOverride>
    <w:lvlOverride w:ilvl="1">
      <w:lvl w:ilvl="1">
        <w:start w:val="1"/>
        <w:numFmt w:val="decimal"/>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5" w16cid:durableId="1676880788">
    <w:abstractNumId w:val="0"/>
  </w:num>
  <w:num w:numId="26" w16cid:durableId="1921089182">
    <w:abstractNumId w:val="14"/>
  </w:num>
  <w:num w:numId="27" w16cid:durableId="919287891">
    <w:abstractNumId w:val="26"/>
  </w:num>
  <w:num w:numId="28" w16cid:durableId="5919379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1A3"/>
    <w:rsid w:val="0000237F"/>
    <w:rsid w:val="0001113F"/>
    <w:rsid w:val="0001131E"/>
    <w:rsid w:val="0001561A"/>
    <w:rsid w:val="00015DAA"/>
    <w:rsid w:val="0002042E"/>
    <w:rsid w:val="000246F3"/>
    <w:rsid w:val="00024EDC"/>
    <w:rsid w:val="00027897"/>
    <w:rsid w:val="000311E4"/>
    <w:rsid w:val="00033506"/>
    <w:rsid w:val="00042A2C"/>
    <w:rsid w:val="00050270"/>
    <w:rsid w:val="000513A8"/>
    <w:rsid w:val="0005206F"/>
    <w:rsid w:val="00054820"/>
    <w:rsid w:val="00057390"/>
    <w:rsid w:val="00057FAE"/>
    <w:rsid w:val="00074AC4"/>
    <w:rsid w:val="00075931"/>
    <w:rsid w:val="00077FFA"/>
    <w:rsid w:val="00080630"/>
    <w:rsid w:val="00085461"/>
    <w:rsid w:val="00085C01"/>
    <w:rsid w:val="0009018A"/>
    <w:rsid w:val="00090D21"/>
    <w:rsid w:val="000A00EE"/>
    <w:rsid w:val="000A193F"/>
    <w:rsid w:val="000A2507"/>
    <w:rsid w:val="000A3CA1"/>
    <w:rsid w:val="000B2F4A"/>
    <w:rsid w:val="000B3D2A"/>
    <w:rsid w:val="000B7806"/>
    <w:rsid w:val="000C006A"/>
    <w:rsid w:val="000C0836"/>
    <w:rsid w:val="000D2164"/>
    <w:rsid w:val="000D2420"/>
    <w:rsid w:val="000E066C"/>
    <w:rsid w:val="000E763A"/>
    <w:rsid w:val="000F2022"/>
    <w:rsid w:val="000F7701"/>
    <w:rsid w:val="00100B6B"/>
    <w:rsid w:val="00103A6B"/>
    <w:rsid w:val="00104284"/>
    <w:rsid w:val="00105E2F"/>
    <w:rsid w:val="00106E9A"/>
    <w:rsid w:val="00111A68"/>
    <w:rsid w:val="00126F55"/>
    <w:rsid w:val="0012702C"/>
    <w:rsid w:val="001334FD"/>
    <w:rsid w:val="0013750C"/>
    <w:rsid w:val="001379CA"/>
    <w:rsid w:val="00145D9A"/>
    <w:rsid w:val="00146F86"/>
    <w:rsid w:val="00150D95"/>
    <w:rsid w:val="001550D5"/>
    <w:rsid w:val="001609B4"/>
    <w:rsid w:val="00164BF9"/>
    <w:rsid w:val="00175128"/>
    <w:rsid w:val="001767ED"/>
    <w:rsid w:val="00180344"/>
    <w:rsid w:val="00185799"/>
    <w:rsid w:val="00185A5D"/>
    <w:rsid w:val="0019398E"/>
    <w:rsid w:val="00195C77"/>
    <w:rsid w:val="00196796"/>
    <w:rsid w:val="001A0CCC"/>
    <w:rsid w:val="001A537B"/>
    <w:rsid w:val="001B2C97"/>
    <w:rsid w:val="001C1367"/>
    <w:rsid w:val="001C18A2"/>
    <w:rsid w:val="001D3A0C"/>
    <w:rsid w:val="001D7BB1"/>
    <w:rsid w:val="001E04DC"/>
    <w:rsid w:val="001E43C2"/>
    <w:rsid w:val="001F6289"/>
    <w:rsid w:val="001F6F09"/>
    <w:rsid w:val="001F7376"/>
    <w:rsid w:val="001F7A5B"/>
    <w:rsid w:val="002037B7"/>
    <w:rsid w:val="00207940"/>
    <w:rsid w:val="002114BE"/>
    <w:rsid w:val="002121D3"/>
    <w:rsid w:val="002127CE"/>
    <w:rsid w:val="002147E4"/>
    <w:rsid w:val="002156AC"/>
    <w:rsid w:val="00215CCC"/>
    <w:rsid w:val="00215D94"/>
    <w:rsid w:val="00223047"/>
    <w:rsid w:val="00227041"/>
    <w:rsid w:val="0022B680"/>
    <w:rsid w:val="0023179A"/>
    <w:rsid w:val="00233FBB"/>
    <w:rsid w:val="002346CA"/>
    <w:rsid w:val="00234D51"/>
    <w:rsid w:val="00243D9B"/>
    <w:rsid w:val="0024411F"/>
    <w:rsid w:val="0025089E"/>
    <w:rsid w:val="0026213C"/>
    <w:rsid w:val="00263791"/>
    <w:rsid w:val="00266F5C"/>
    <w:rsid w:val="00277C57"/>
    <w:rsid w:val="00281306"/>
    <w:rsid w:val="00281AE6"/>
    <w:rsid w:val="00284BC8"/>
    <w:rsid w:val="00285C81"/>
    <w:rsid w:val="00290617"/>
    <w:rsid w:val="00293A5C"/>
    <w:rsid w:val="0029475A"/>
    <w:rsid w:val="002951EC"/>
    <w:rsid w:val="002A12DE"/>
    <w:rsid w:val="002A2673"/>
    <w:rsid w:val="002B0B23"/>
    <w:rsid w:val="002B2602"/>
    <w:rsid w:val="002B27E4"/>
    <w:rsid w:val="002B4579"/>
    <w:rsid w:val="002B7BB0"/>
    <w:rsid w:val="002C1E08"/>
    <w:rsid w:val="002C39C4"/>
    <w:rsid w:val="002C52A6"/>
    <w:rsid w:val="002D28E4"/>
    <w:rsid w:val="002D3DDA"/>
    <w:rsid w:val="002D4B4D"/>
    <w:rsid w:val="002D609E"/>
    <w:rsid w:val="002D6DF9"/>
    <w:rsid w:val="002E4C4A"/>
    <w:rsid w:val="002E6A74"/>
    <w:rsid w:val="002F306B"/>
    <w:rsid w:val="002F5CE1"/>
    <w:rsid w:val="00301986"/>
    <w:rsid w:val="00301C1A"/>
    <w:rsid w:val="0030259C"/>
    <w:rsid w:val="003059EA"/>
    <w:rsid w:val="00305F6B"/>
    <w:rsid w:val="003063C7"/>
    <w:rsid w:val="003077A8"/>
    <w:rsid w:val="00312166"/>
    <w:rsid w:val="00313366"/>
    <w:rsid w:val="00317EA7"/>
    <w:rsid w:val="00320C08"/>
    <w:rsid w:val="003230E4"/>
    <w:rsid w:val="00335FE1"/>
    <w:rsid w:val="00336B51"/>
    <w:rsid w:val="0034018C"/>
    <w:rsid w:val="003430EB"/>
    <w:rsid w:val="0034610D"/>
    <w:rsid w:val="003574D8"/>
    <w:rsid w:val="00365C28"/>
    <w:rsid w:val="00366937"/>
    <w:rsid w:val="00370808"/>
    <w:rsid w:val="0037140B"/>
    <w:rsid w:val="00372758"/>
    <w:rsid w:val="003749D1"/>
    <w:rsid w:val="00376F18"/>
    <w:rsid w:val="00380EFE"/>
    <w:rsid w:val="0038127A"/>
    <w:rsid w:val="00381B37"/>
    <w:rsid w:val="00385EDC"/>
    <w:rsid w:val="00392BCB"/>
    <w:rsid w:val="003A40E9"/>
    <w:rsid w:val="003A6475"/>
    <w:rsid w:val="003B4936"/>
    <w:rsid w:val="003B5273"/>
    <w:rsid w:val="003C376D"/>
    <w:rsid w:val="003D2C97"/>
    <w:rsid w:val="003D43EC"/>
    <w:rsid w:val="003E138D"/>
    <w:rsid w:val="003E2D86"/>
    <w:rsid w:val="003E31A3"/>
    <w:rsid w:val="003E3F1E"/>
    <w:rsid w:val="003E5137"/>
    <w:rsid w:val="003F280E"/>
    <w:rsid w:val="003F500B"/>
    <w:rsid w:val="003F515A"/>
    <w:rsid w:val="003F559C"/>
    <w:rsid w:val="003F5BBE"/>
    <w:rsid w:val="003F6A62"/>
    <w:rsid w:val="00400C35"/>
    <w:rsid w:val="004108B3"/>
    <w:rsid w:val="004115ED"/>
    <w:rsid w:val="004161EA"/>
    <w:rsid w:val="004204A1"/>
    <w:rsid w:val="00423564"/>
    <w:rsid w:val="00424425"/>
    <w:rsid w:val="00432E78"/>
    <w:rsid w:val="004337CB"/>
    <w:rsid w:val="00434518"/>
    <w:rsid w:val="0043708F"/>
    <w:rsid w:val="00440A49"/>
    <w:rsid w:val="00445B74"/>
    <w:rsid w:val="004531B1"/>
    <w:rsid w:val="00457652"/>
    <w:rsid w:val="00457F95"/>
    <w:rsid w:val="00461BA3"/>
    <w:rsid w:val="00466D98"/>
    <w:rsid w:val="00470307"/>
    <w:rsid w:val="00470446"/>
    <w:rsid w:val="00470E90"/>
    <w:rsid w:val="00472DD7"/>
    <w:rsid w:val="00474264"/>
    <w:rsid w:val="00474367"/>
    <w:rsid w:val="0048229E"/>
    <w:rsid w:val="004859EC"/>
    <w:rsid w:val="004860D5"/>
    <w:rsid w:val="00490319"/>
    <w:rsid w:val="00491224"/>
    <w:rsid w:val="00492F30"/>
    <w:rsid w:val="00493157"/>
    <w:rsid w:val="004939E8"/>
    <w:rsid w:val="004A1BE0"/>
    <w:rsid w:val="004B53DC"/>
    <w:rsid w:val="004B58ED"/>
    <w:rsid w:val="004B65C6"/>
    <w:rsid w:val="004C5A65"/>
    <w:rsid w:val="004D04CA"/>
    <w:rsid w:val="004D3906"/>
    <w:rsid w:val="004D7923"/>
    <w:rsid w:val="004E2278"/>
    <w:rsid w:val="004E3730"/>
    <w:rsid w:val="004E59A9"/>
    <w:rsid w:val="004E6DCA"/>
    <w:rsid w:val="004E7368"/>
    <w:rsid w:val="004E7BFC"/>
    <w:rsid w:val="004F3C28"/>
    <w:rsid w:val="004F6497"/>
    <w:rsid w:val="005023CC"/>
    <w:rsid w:val="0050497E"/>
    <w:rsid w:val="00504A42"/>
    <w:rsid w:val="00506594"/>
    <w:rsid w:val="00506DCD"/>
    <w:rsid w:val="00507424"/>
    <w:rsid w:val="005137DB"/>
    <w:rsid w:val="00516710"/>
    <w:rsid w:val="00516B82"/>
    <w:rsid w:val="00517AB1"/>
    <w:rsid w:val="00520095"/>
    <w:rsid w:val="005269CB"/>
    <w:rsid w:val="00527CED"/>
    <w:rsid w:val="0053672A"/>
    <w:rsid w:val="00536FE3"/>
    <w:rsid w:val="00542E6F"/>
    <w:rsid w:val="0054516B"/>
    <w:rsid w:val="00545197"/>
    <w:rsid w:val="005547AD"/>
    <w:rsid w:val="005560AA"/>
    <w:rsid w:val="0055646E"/>
    <w:rsid w:val="005610E9"/>
    <w:rsid w:val="00561C1A"/>
    <w:rsid w:val="00561E40"/>
    <w:rsid w:val="00564A85"/>
    <w:rsid w:val="005662A8"/>
    <w:rsid w:val="005676D1"/>
    <w:rsid w:val="00583824"/>
    <w:rsid w:val="00586E92"/>
    <w:rsid w:val="00591555"/>
    <w:rsid w:val="00591D8F"/>
    <w:rsid w:val="00592814"/>
    <w:rsid w:val="005963CC"/>
    <w:rsid w:val="00596E44"/>
    <w:rsid w:val="005A0616"/>
    <w:rsid w:val="005A34B0"/>
    <w:rsid w:val="005A62E3"/>
    <w:rsid w:val="005B2EF3"/>
    <w:rsid w:val="005C051B"/>
    <w:rsid w:val="005C477B"/>
    <w:rsid w:val="005C7A4C"/>
    <w:rsid w:val="005D7E35"/>
    <w:rsid w:val="005F052D"/>
    <w:rsid w:val="005F4A64"/>
    <w:rsid w:val="006000F5"/>
    <w:rsid w:val="006006A8"/>
    <w:rsid w:val="006023C9"/>
    <w:rsid w:val="0060363E"/>
    <w:rsid w:val="00604068"/>
    <w:rsid w:val="00611CEF"/>
    <w:rsid w:val="00614D16"/>
    <w:rsid w:val="00621612"/>
    <w:rsid w:val="0062206B"/>
    <w:rsid w:val="006220DB"/>
    <w:rsid w:val="00623EA9"/>
    <w:rsid w:val="00625095"/>
    <w:rsid w:val="00631E67"/>
    <w:rsid w:val="00634DF0"/>
    <w:rsid w:val="00635B37"/>
    <w:rsid w:val="00640986"/>
    <w:rsid w:val="00641AB0"/>
    <w:rsid w:val="00642559"/>
    <w:rsid w:val="00642F12"/>
    <w:rsid w:val="00647CD8"/>
    <w:rsid w:val="00653905"/>
    <w:rsid w:val="006555DC"/>
    <w:rsid w:val="00657422"/>
    <w:rsid w:val="006606A1"/>
    <w:rsid w:val="00661C09"/>
    <w:rsid w:val="006629E9"/>
    <w:rsid w:val="006631BA"/>
    <w:rsid w:val="00663978"/>
    <w:rsid w:val="00663C2B"/>
    <w:rsid w:val="006650D0"/>
    <w:rsid w:val="00666AE0"/>
    <w:rsid w:val="00677DB3"/>
    <w:rsid w:val="0068067F"/>
    <w:rsid w:val="006810E5"/>
    <w:rsid w:val="00682F88"/>
    <w:rsid w:val="00683080"/>
    <w:rsid w:val="00687FC6"/>
    <w:rsid w:val="00691832"/>
    <w:rsid w:val="006A62F2"/>
    <w:rsid w:val="006B1CF1"/>
    <w:rsid w:val="006C042F"/>
    <w:rsid w:val="006C7EDC"/>
    <w:rsid w:val="006D2018"/>
    <w:rsid w:val="006D3786"/>
    <w:rsid w:val="006D4D90"/>
    <w:rsid w:val="006E17A9"/>
    <w:rsid w:val="006E6154"/>
    <w:rsid w:val="006F0EE9"/>
    <w:rsid w:val="006F142E"/>
    <w:rsid w:val="006F2322"/>
    <w:rsid w:val="006F4A68"/>
    <w:rsid w:val="006F65CF"/>
    <w:rsid w:val="00701A5A"/>
    <w:rsid w:val="0070622E"/>
    <w:rsid w:val="00706DE0"/>
    <w:rsid w:val="00706FB2"/>
    <w:rsid w:val="007138E0"/>
    <w:rsid w:val="00714A10"/>
    <w:rsid w:val="00716233"/>
    <w:rsid w:val="0071726E"/>
    <w:rsid w:val="00723389"/>
    <w:rsid w:val="007270FC"/>
    <w:rsid w:val="00727419"/>
    <w:rsid w:val="00732A5F"/>
    <w:rsid w:val="00735F32"/>
    <w:rsid w:val="007369F4"/>
    <w:rsid w:val="007526BC"/>
    <w:rsid w:val="007543EC"/>
    <w:rsid w:val="00757C22"/>
    <w:rsid w:val="00765F93"/>
    <w:rsid w:val="0077159E"/>
    <w:rsid w:val="00773912"/>
    <w:rsid w:val="0077425B"/>
    <w:rsid w:val="0077737A"/>
    <w:rsid w:val="007812E1"/>
    <w:rsid w:val="00786D38"/>
    <w:rsid w:val="0079299C"/>
    <w:rsid w:val="00793262"/>
    <w:rsid w:val="00794A94"/>
    <w:rsid w:val="0079503C"/>
    <w:rsid w:val="00796CA2"/>
    <w:rsid w:val="007A0D6D"/>
    <w:rsid w:val="007A1E9B"/>
    <w:rsid w:val="007A32A4"/>
    <w:rsid w:val="007A5EBB"/>
    <w:rsid w:val="007A6111"/>
    <w:rsid w:val="007B3647"/>
    <w:rsid w:val="007C380F"/>
    <w:rsid w:val="007C3B9F"/>
    <w:rsid w:val="007D2A4A"/>
    <w:rsid w:val="007D4394"/>
    <w:rsid w:val="007E3E0A"/>
    <w:rsid w:val="007E4456"/>
    <w:rsid w:val="007E7DBE"/>
    <w:rsid w:val="007F442D"/>
    <w:rsid w:val="007F4BDF"/>
    <w:rsid w:val="0080174D"/>
    <w:rsid w:val="008032CD"/>
    <w:rsid w:val="00803416"/>
    <w:rsid w:val="00810E31"/>
    <w:rsid w:val="0081300B"/>
    <w:rsid w:val="0081550C"/>
    <w:rsid w:val="00815F30"/>
    <w:rsid w:val="00816AED"/>
    <w:rsid w:val="008170A6"/>
    <w:rsid w:val="00820EB5"/>
    <w:rsid w:val="00826964"/>
    <w:rsid w:val="00827811"/>
    <w:rsid w:val="00843C92"/>
    <w:rsid w:val="008478B2"/>
    <w:rsid w:val="00852039"/>
    <w:rsid w:val="00857DCD"/>
    <w:rsid w:val="00860F1C"/>
    <w:rsid w:val="00863D54"/>
    <w:rsid w:val="008651B3"/>
    <w:rsid w:val="008653FB"/>
    <w:rsid w:val="0086614B"/>
    <w:rsid w:val="00867992"/>
    <w:rsid w:val="008700AA"/>
    <w:rsid w:val="00871790"/>
    <w:rsid w:val="00885F7E"/>
    <w:rsid w:val="008971B8"/>
    <w:rsid w:val="00897393"/>
    <w:rsid w:val="008A4B95"/>
    <w:rsid w:val="008B0CDA"/>
    <w:rsid w:val="008B2535"/>
    <w:rsid w:val="008B605F"/>
    <w:rsid w:val="008C04CD"/>
    <w:rsid w:val="008C0923"/>
    <w:rsid w:val="008C14C2"/>
    <w:rsid w:val="008D6B86"/>
    <w:rsid w:val="008E4B73"/>
    <w:rsid w:val="008E7470"/>
    <w:rsid w:val="008E78A9"/>
    <w:rsid w:val="008F480D"/>
    <w:rsid w:val="008F486D"/>
    <w:rsid w:val="009008E8"/>
    <w:rsid w:val="00903F67"/>
    <w:rsid w:val="00912E6A"/>
    <w:rsid w:val="00913569"/>
    <w:rsid w:val="009139E2"/>
    <w:rsid w:val="00917E8C"/>
    <w:rsid w:val="009227F7"/>
    <w:rsid w:val="00923DE4"/>
    <w:rsid w:val="009255E5"/>
    <w:rsid w:val="00935565"/>
    <w:rsid w:val="0094074C"/>
    <w:rsid w:val="00945E71"/>
    <w:rsid w:val="00946709"/>
    <w:rsid w:val="0095294A"/>
    <w:rsid w:val="009553AE"/>
    <w:rsid w:val="00955D21"/>
    <w:rsid w:val="0095778D"/>
    <w:rsid w:val="0096140D"/>
    <w:rsid w:val="0096206B"/>
    <w:rsid w:val="00967ECC"/>
    <w:rsid w:val="009708E9"/>
    <w:rsid w:val="00970A4E"/>
    <w:rsid w:val="00976911"/>
    <w:rsid w:val="00992770"/>
    <w:rsid w:val="009A0AA7"/>
    <w:rsid w:val="009A173A"/>
    <w:rsid w:val="009A2C24"/>
    <w:rsid w:val="009A5FCC"/>
    <w:rsid w:val="009B1676"/>
    <w:rsid w:val="009B1D63"/>
    <w:rsid w:val="009B6B20"/>
    <w:rsid w:val="009C2360"/>
    <w:rsid w:val="009C2D84"/>
    <w:rsid w:val="009C3865"/>
    <w:rsid w:val="009C608C"/>
    <w:rsid w:val="009D229F"/>
    <w:rsid w:val="009D6543"/>
    <w:rsid w:val="009D6CE7"/>
    <w:rsid w:val="009E5016"/>
    <w:rsid w:val="009F4FD4"/>
    <w:rsid w:val="00A143AB"/>
    <w:rsid w:val="00A1615B"/>
    <w:rsid w:val="00A21002"/>
    <w:rsid w:val="00A308D8"/>
    <w:rsid w:val="00A30D58"/>
    <w:rsid w:val="00A3280E"/>
    <w:rsid w:val="00A347FC"/>
    <w:rsid w:val="00A37684"/>
    <w:rsid w:val="00A40C66"/>
    <w:rsid w:val="00A43F19"/>
    <w:rsid w:val="00A46026"/>
    <w:rsid w:val="00A47135"/>
    <w:rsid w:val="00A51686"/>
    <w:rsid w:val="00A52EC5"/>
    <w:rsid w:val="00A63D03"/>
    <w:rsid w:val="00A64F46"/>
    <w:rsid w:val="00A6583C"/>
    <w:rsid w:val="00A74659"/>
    <w:rsid w:val="00A77FD6"/>
    <w:rsid w:val="00A80F74"/>
    <w:rsid w:val="00A828AF"/>
    <w:rsid w:val="00A902CC"/>
    <w:rsid w:val="00A91E2C"/>
    <w:rsid w:val="00A91EA2"/>
    <w:rsid w:val="00A9641E"/>
    <w:rsid w:val="00AA202A"/>
    <w:rsid w:val="00AB3297"/>
    <w:rsid w:val="00AB387E"/>
    <w:rsid w:val="00AB4FE0"/>
    <w:rsid w:val="00AC23AA"/>
    <w:rsid w:val="00AC4126"/>
    <w:rsid w:val="00AC6A99"/>
    <w:rsid w:val="00AC73F6"/>
    <w:rsid w:val="00AC7E68"/>
    <w:rsid w:val="00AD2E1F"/>
    <w:rsid w:val="00AD3515"/>
    <w:rsid w:val="00AD3821"/>
    <w:rsid w:val="00AD7C8B"/>
    <w:rsid w:val="00AE30C7"/>
    <w:rsid w:val="00AF1A66"/>
    <w:rsid w:val="00AF3DBF"/>
    <w:rsid w:val="00AF40EA"/>
    <w:rsid w:val="00AF5A67"/>
    <w:rsid w:val="00AF66E1"/>
    <w:rsid w:val="00B00188"/>
    <w:rsid w:val="00B00CA8"/>
    <w:rsid w:val="00B012B4"/>
    <w:rsid w:val="00B02016"/>
    <w:rsid w:val="00B065D4"/>
    <w:rsid w:val="00B06DA9"/>
    <w:rsid w:val="00B1103A"/>
    <w:rsid w:val="00B13D40"/>
    <w:rsid w:val="00B15C38"/>
    <w:rsid w:val="00B20364"/>
    <w:rsid w:val="00B24709"/>
    <w:rsid w:val="00B2743E"/>
    <w:rsid w:val="00B3561D"/>
    <w:rsid w:val="00B36F18"/>
    <w:rsid w:val="00B42F13"/>
    <w:rsid w:val="00B452CB"/>
    <w:rsid w:val="00B50BB4"/>
    <w:rsid w:val="00B52537"/>
    <w:rsid w:val="00B571B7"/>
    <w:rsid w:val="00B61334"/>
    <w:rsid w:val="00B71BEA"/>
    <w:rsid w:val="00B71EB6"/>
    <w:rsid w:val="00B72C09"/>
    <w:rsid w:val="00B7420E"/>
    <w:rsid w:val="00B753F6"/>
    <w:rsid w:val="00B759FA"/>
    <w:rsid w:val="00B906CE"/>
    <w:rsid w:val="00B925AE"/>
    <w:rsid w:val="00B93555"/>
    <w:rsid w:val="00B93F2D"/>
    <w:rsid w:val="00B94191"/>
    <w:rsid w:val="00B97CE9"/>
    <w:rsid w:val="00BA37C6"/>
    <w:rsid w:val="00BA3827"/>
    <w:rsid w:val="00BA3921"/>
    <w:rsid w:val="00BA4A54"/>
    <w:rsid w:val="00BA5452"/>
    <w:rsid w:val="00BA6247"/>
    <w:rsid w:val="00BB52C5"/>
    <w:rsid w:val="00BB54CE"/>
    <w:rsid w:val="00BB5644"/>
    <w:rsid w:val="00BB7E71"/>
    <w:rsid w:val="00BC4AD5"/>
    <w:rsid w:val="00BD4DAA"/>
    <w:rsid w:val="00BD7794"/>
    <w:rsid w:val="00BE1719"/>
    <w:rsid w:val="00BE2C21"/>
    <w:rsid w:val="00BF04E2"/>
    <w:rsid w:val="00BF059C"/>
    <w:rsid w:val="00BF2BBF"/>
    <w:rsid w:val="00C007D0"/>
    <w:rsid w:val="00C011DA"/>
    <w:rsid w:val="00C016EE"/>
    <w:rsid w:val="00C07CD9"/>
    <w:rsid w:val="00C128E9"/>
    <w:rsid w:val="00C17392"/>
    <w:rsid w:val="00C1791A"/>
    <w:rsid w:val="00C21450"/>
    <w:rsid w:val="00C229B5"/>
    <w:rsid w:val="00C25878"/>
    <w:rsid w:val="00C33CCF"/>
    <w:rsid w:val="00C44669"/>
    <w:rsid w:val="00C45345"/>
    <w:rsid w:val="00C46CA4"/>
    <w:rsid w:val="00C471FA"/>
    <w:rsid w:val="00C508E8"/>
    <w:rsid w:val="00C51949"/>
    <w:rsid w:val="00C56C6F"/>
    <w:rsid w:val="00C62E08"/>
    <w:rsid w:val="00C83975"/>
    <w:rsid w:val="00C843C7"/>
    <w:rsid w:val="00C87551"/>
    <w:rsid w:val="00C9274C"/>
    <w:rsid w:val="00C947DA"/>
    <w:rsid w:val="00CA029C"/>
    <w:rsid w:val="00CA46E1"/>
    <w:rsid w:val="00CA6A33"/>
    <w:rsid w:val="00CB2090"/>
    <w:rsid w:val="00CC4CED"/>
    <w:rsid w:val="00CD1904"/>
    <w:rsid w:val="00CD4158"/>
    <w:rsid w:val="00CE1574"/>
    <w:rsid w:val="00CE4D04"/>
    <w:rsid w:val="00CE53C6"/>
    <w:rsid w:val="00CE5443"/>
    <w:rsid w:val="00CF2D41"/>
    <w:rsid w:val="00CF5812"/>
    <w:rsid w:val="00D102F5"/>
    <w:rsid w:val="00D13A28"/>
    <w:rsid w:val="00D15846"/>
    <w:rsid w:val="00D16EF1"/>
    <w:rsid w:val="00D21531"/>
    <w:rsid w:val="00D24CCE"/>
    <w:rsid w:val="00D25020"/>
    <w:rsid w:val="00D2677B"/>
    <w:rsid w:val="00D32802"/>
    <w:rsid w:val="00D34AF1"/>
    <w:rsid w:val="00D371D7"/>
    <w:rsid w:val="00D44C78"/>
    <w:rsid w:val="00D610B9"/>
    <w:rsid w:val="00D677D8"/>
    <w:rsid w:val="00D67C60"/>
    <w:rsid w:val="00D67F2E"/>
    <w:rsid w:val="00D70D72"/>
    <w:rsid w:val="00D7529C"/>
    <w:rsid w:val="00D77224"/>
    <w:rsid w:val="00D904ED"/>
    <w:rsid w:val="00D925A5"/>
    <w:rsid w:val="00D97FDB"/>
    <w:rsid w:val="00DA53C4"/>
    <w:rsid w:val="00DA603F"/>
    <w:rsid w:val="00DA75EC"/>
    <w:rsid w:val="00DC26C7"/>
    <w:rsid w:val="00DD0C52"/>
    <w:rsid w:val="00DD1C43"/>
    <w:rsid w:val="00DD3780"/>
    <w:rsid w:val="00DE2C5F"/>
    <w:rsid w:val="00DE5A6C"/>
    <w:rsid w:val="00DE6327"/>
    <w:rsid w:val="00DF0054"/>
    <w:rsid w:val="00DF061E"/>
    <w:rsid w:val="00DF140D"/>
    <w:rsid w:val="00DF16D6"/>
    <w:rsid w:val="00DF1998"/>
    <w:rsid w:val="00E01F7A"/>
    <w:rsid w:val="00E03CC1"/>
    <w:rsid w:val="00E0426B"/>
    <w:rsid w:val="00E048F3"/>
    <w:rsid w:val="00E06527"/>
    <w:rsid w:val="00E110E4"/>
    <w:rsid w:val="00E13E12"/>
    <w:rsid w:val="00E16178"/>
    <w:rsid w:val="00E1750D"/>
    <w:rsid w:val="00E20423"/>
    <w:rsid w:val="00E24842"/>
    <w:rsid w:val="00E24E54"/>
    <w:rsid w:val="00E2566E"/>
    <w:rsid w:val="00E307F3"/>
    <w:rsid w:val="00E37842"/>
    <w:rsid w:val="00E37A07"/>
    <w:rsid w:val="00E37B48"/>
    <w:rsid w:val="00E41E22"/>
    <w:rsid w:val="00E47F90"/>
    <w:rsid w:val="00E506E6"/>
    <w:rsid w:val="00E508BA"/>
    <w:rsid w:val="00E536AE"/>
    <w:rsid w:val="00E604F7"/>
    <w:rsid w:val="00E6202B"/>
    <w:rsid w:val="00E666C0"/>
    <w:rsid w:val="00E67ED0"/>
    <w:rsid w:val="00E70460"/>
    <w:rsid w:val="00E80183"/>
    <w:rsid w:val="00E803F9"/>
    <w:rsid w:val="00E90792"/>
    <w:rsid w:val="00E91B55"/>
    <w:rsid w:val="00E93B3C"/>
    <w:rsid w:val="00EA25BA"/>
    <w:rsid w:val="00EA3933"/>
    <w:rsid w:val="00EA3A9C"/>
    <w:rsid w:val="00EA5A25"/>
    <w:rsid w:val="00EB3048"/>
    <w:rsid w:val="00EB5296"/>
    <w:rsid w:val="00EB6901"/>
    <w:rsid w:val="00EC0E87"/>
    <w:rsid w:val="00EC5476"/>
    <w:rsid w:val="00EC65EE"/>
    <w:rsid w:val="00ED46BD"/>
    <w:rsid w:val="00ED59C5"/>
    <w:rsid w:val="00ED72CC"/>
    <w:rsid w:val="00EE1423"/>
    <w:rsid w:val="00EE2D5C"/>
    <w:rsid w:val="00EE3AE0"/>
    <w:rsid w:val="00EE727A"/>
    <w:rsid w:val="00EF3FA9"/>
    <w:rsid w:val="00F1190B"/>
    <w:rsid w:val="00F13310"/>
    <w:rsid w:val="00F25B97"/>
    <w:rsid w:val="00F341D7"/>
    <w:rsid w:val="00F47041"/>
    <w:rsid w:val="00F57C8B"/>
    <w:rsid w:val="00F64782"/>
    <w:rsid w:val="00F666B2"/>
    <w:rsid w:val="00F70764"/>
    <w:rsid w:val="00F7090B"/>
    <w:rsid w:val="00F72F16"/>
    <w:rsid w:val="00F75901"/>
    <w:rsid w:val="00F766E6"/>
    <w:rsid w:val="00F8209E"/>
    <w:rsid w:val="00F8481D"/>
    <w:rsid w:val="00F848BF"/>
    <w:rsid w:val="00F87900"/>
    <w:rsid w:val="00F906E4"/>
    <w:rsid w:val="00F91CF2"/>
    <w:rsid w:val="00F94689"/>
    <w:rsid w:val="00FA3F26"/>
    <w:rsid w:val="00FA561E"/>
    <w:rsid w:val="00FB0AC5"/>
    <w:rsid w:val="00FB1B4A"/>
    <w:rsid w:val="00FB435C"/>
    <w:rsid w:val="00FC1794"/>
    <w:rsid w:val="00FC277B"/>
    <w:rsid w:val="00FC562F"/>
    <w:rsid w:val="00FD0546"/>
    <w:rsid w:val="00FD6CE3"/>
    <w:rsid w:val="00FD6F79"/>
    <w:rsid w:val="00FD71FC"/>
    <w:rsid w:val="00FE0481"/>
    <w:rsid w:val="00FE3DF2"/>
    <w:rsid w:val="00FE79E5"/>
    <w:rsid w:val="00FF0F7D"/>
    <w:rsid w:val="00FF67EA"/>
    <w:rsid w:val="016DA07A"/>
    <w:rsid w:val="02C5EFDE"/>
    <w:rsid w:val="02E6A221"/>
    <w:rsid w:val="043C86FF"/>
    <w:rsid w:val="07F4D62D"/>
    <w:rsid w:val="0950A91D"/>
    <w:rsid w:val="0CA94CF9"/>
    <w:rsid w:val="0DF51704"/>
    <w:rsid w:val="0E4668A8"/>
    <w:rsid w:val="0E722CF9"/>
    <w:rsid w:val="0F2D2532"/>
    <w:rsid w:val="10462E5C"/>
    <w:rsid w:val="12D76F93"/>
    <w:rsid w:val="176B079C"/>
    <w:rsid w:val="1813F45E"/>
    <w:rsid w:val="1A56DE1B"/>
    <w:rsid w:val="20CC8C42"/>
    <w:rsid w:val="20FEF07A"/>
    <w:rsid w:val="21FD5046"/>
    <w:rsid w:val="22CD1492"/>
    <w:rsid w:val="2415B699"/>
    <w:rsid w:val="257E0B66"/>
    <w:rsid w:val="274E850B"/>
    <w:rsid w:val="2E9C6C7B"/>
    <w:rsid w:val="30678193"/>
    <w:rsid w:val="31085CDF"/>
    <w:rsid w:val="3220EBB2"/>
    <w:rsid w:val="33789774"/>
    <w:rsid w:val="341E4E40"/>
    <w:rsid w:val="3752484A"/>
    <w:rsid w:val="3795D515"/>
    <w:rsid w:val="39DB87CC"/>
    <w:rsid w:val="3A7EDE6C"/>
    <w:rsid w:val="3BAB4689"/>
    <w:rsid w:val="3DD80EF9"/>
    <w:rsid w:val="3FC8175E"/>
    <w:rsid w:val="43CA3B98"/>
    <w:rsid w:val="4806DE6C"/>
    <w:rsid w:val="48AE3A22"/>
    <w:rsid w:val="495CA3C4"/>
    <w:rsid w:val="49D2A291"/>
    <w:rsid w:val="4B18051B"/>
    <w:rsid w:val="4D1933E5"/>
    <w:rsid w:val="4E5730F8"/>
    <w:rsid w:val="515DAA4A"/>
    <w:rsid w:val="52749337"/>
    <w:rsid w:val="54ABF370"/>
    <w:rsid w:val="58BCFB71"/>
    <w:rsid w:val="59ABB7F0"/>
    <w:rsid w:val="5AACD99F"/>
    <w:rsid w:val="5B207D0C"/>
    <w:rsid w:val="5E3BC56E"/>
    <w:rsid w:val="5E6097BB"/>
    <w:rsid w:val="5E6FEB67"/>
    <w:rsid w:val="69813FF3"/>
    <w:rsid w:val="6A06A70F"/>
    <w:rsid w:val="6ADD776A"/>
    <w:rsid w:val="6BC68D38"/>
    <w:rsid w:val="6F8E681C"/>
    <w:rsid w:val="700B5F6D"/>
    <w:rsid w:val="7157186A"/>
    <w:rsid w:val="72434993"/>
    <w:rsid w:val="72DEAA0B"/>
    <w:rsid w:val="73626E2F"/>
    <w:rsid w:val="76F1C60B"/>
    <w:rsid w:val="77199A68"/>
    <w:rsid w:val="78C3FEE2"/>
    <w:rsid w:val="7C33A936"/>
    <w:rsid w:val="7CADED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729D20"/>
  <w15:chartTrackingRefBased/>
  <w15:docId w15:val="{26C65E49-0CAB-4E5E-8942-E65C450BE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99C"/>
  </w:style>
  <w:style w:type="paragraph" w:styleId="Heading1">
    <w:name w:val="heading 1"/>
    <w:basedOn w:val="Normal"/>
    <w:next w:val="Normal"/>
    <w:link w:val="Heading1Char"/>
    <w:uiPriority w:val="9"/>
    <w:qFormat/>
    <w:rsid w:val="008F48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48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3E31A3"/>
    <w:pPr>
      <w:spacing w:before="100" w:beforeAutospacing="1" w:after="100" w:afterAutospacing="1" w:line="240" w:lineRule="auto"/>
      <w:outlineLvl w:val="4"/>
    </w:pPr>
    <w:rPr>
      <w:rFonts w:ascii="Times New Roman" w:eastAsiaTheme="minorEastAsia"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E31A3"/>
    <w:rPr>
      <w:rFonts w:ascii="Times New Roman" w:eastAsiaTheme="minorEastAsia" w:hAnsi="Times New Roman" w:cs="Times New Roman"/>
      <w:b/>
      <w:bCs/>
      <w:sz w:val="20"/>
      <w:szCs w:val="20"/>
    </w:rPr>
  </w:style>
  <w:style w:type="paragraph" w:styleId="NormalWeb">
    <w:name w:val="Normal (Web)"/>
    <w:basedOn w:val="Normal"/>
    <w:uiPriority w:val="99"/>
    <w:semiHidden/>
    <w:unhideWhenUsed/>
    <w:rsid w:val="003E31A3"/>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3E31A3"/>
    <w:pPr>
      <w:spacing w:after="0" w:line="240" w:lineRule="auto"/>
      <w:ind w:left="720"/>
      <w:contextualSpacing/>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1A0C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CCC"/>
    <w:rPr>
      <w:rFonts w:ascii="Segoe UI" w:hAnsi="Segoe UI" w:cs="Segoe UI"/>
      <w:sz w:val="18"/>
      <w:szCs w:val="18"/>
    </w:rPr>
  </w:style>
  <w:style w:type="character" w:customStyle="1" w:styleId="Heading1Char">
    <w:name w:val="Heading 1 Char"/>
    <w:basedOn w:val="DefaultParagraphFont"/>
    <w:link w:val="Heading1"/>
    <w:uiPriority w:val="9"/>
    <w:rsid w:val="008F486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486D"/>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23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A029C"/>
    <w:pPr>
      <w:spacing w:after="0" w:line="240" w:lineRule="auto"/>
    </w:pPr>
    <w:rPr>
      <w:sz w:val="20"/>
      <w:szCs w:val="20"/>
    </w:rPr>
  </w:style>
  <w:style w:type="character" w:customStyle="1" w:styleId="FootnoteTextChar">
    <w:name w:val="Footnote Text Char"/>
    <w:basedOn w:val="DefaultParagraphFont"/>
    <w:link w:val="FootnoteText"/>
    <w:uiPriority w:val="99"/>
    <w:rsid w:val="00CA029C"/>
    <w:rPr>
      <w:sz w:val="20"/>
      <w:szCs w:val="20"/>
    </w:rPr>
  </w:style>
  <w:style w:type="character" w:styleId="FootnoteReference">
    <w:name w:val="footnote reference"/>
    <w:basedOn w:val="DefaultParagraphFont"/>
    <w:uiPriority w:val="99"/>
    <w:semiHidden/>
    <w:unhideWhenUsed/>
    <w:rsid w:val="00CA029C"/>
    <w:rPr>
      <w:vertAlign w:val="superscript"/>
    </w:rPr>
  </w:style>
  <w:style w:type="character" w:styleId="CommentReference">
    <w:name w:val="annotation reference"/>
    <w:basedOn w:val="DefaultParagraphFont"/>
    <w:uiPriority w:val="99"/>
    <w:semiHidden/>
    <w:unhideWhenUsed/>
    <w:rsid w:val="00164BF9"/>
    <w:rPr>
      <w:sz w:val="16"/>
      <w:szCs w:val="16"/>
    </w:rPr>
  </w:style>
  <w:style w:type="paragraph" w:styleId="CommentText">
    <w:name w:val="annotation text"/>
    <w:basedOn w:val="Normal"/>
    <w:link w:val="CommentTextChar"/>
    <w:uiPriority w:val="99"/>
    <w:unhideWhenUsed/>
    <w:rsid w:val="00164BF9"/>
    <w:pPr>
      <w:spacing w:line="240" w:lineRule="auto"/>
    </w:pPr>
    <w:rPr>
      <w:sz w:val="20"/>
      <w:szCs w:val="20"/>
    </w:rPr>
  </w:style>
  <w:style w:type="character" w:customStyle="1" w:styleId="CommentTextChar">
    <w:name w:val="Comment Text Char"/>
    <w:basedOn w:val="DefaultParagraphFont"/>
    <w:link w:val="CommentText"/>
    <w:uiPriority w:val="99"/>
    <w:rsid w:val="00164BF9"/>
    <w:rPr>
      <w:sz w:val="20"/>
      <w:szCs w:val="20"/>
    </w:rPr>
  </w:style>
  <w:style w:type="paragraph" w:styleId="CommentSubject">
    <w:name w:val="annotation subject"/>
    <w:basedOn w:val="CommentText"/>
    <w:next w:val="CommentText"/>
    <w:link w:val="CommentSubjectChar"/>
    <w:uiPriority w:val="99"/>
    <w:semiHidden/>
    <w:unhideWhenUsed/>
    <w:rsid w:val="00164BF9"/>
    <w:rPr>
      <w:b/>
      <w:bCs/>
    </w:rPr>
  </w:style>
  <w:style w:type="character" w:customStyle="1" w:styleId="CommentSubjectChar">
    <w:name w:val="Comment Subject Char"/>
    <w:basedOn w:val="CommentTextChar"/>
    <w:link w:val="CommentSubject"/>
    <w:uiPriority w:val="99"/>
    <w:semiHidden/>
    <w:rsid w:val="00164BF9"/>
    <w:rPr>
      <w:b/>
      <w:bCs/>
      <w:sz w:val="20"/>
      <w:szCs w:val="20"/>
    </w:rPr>
  </w:style>
  <w:style w:type="paragraph" w:styleId="Header">
    <w:name w:val="header"/>
    <w:basedOn w:val="Normal"/>
    <w:link w:val="HeaderChar"/>
    <w:uiPriority w:val="99"/>
    <w:unhideWhenUsed/>
    <w:rsid w:val="00470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E90"/>
  </w:style>
  <w:style w:type="paragraph" w:styleId="Footer">
    <w:name w:val="footer"/>
    <w:basedOn w:val="Normal"/>
    <w:link w:val="FooterChar"/>
    <w:uiPriority w:val="99"/>
    <w:unhideWhenUsed/>
    <w:rsid w:val="00470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E90"/>
  </w:style>
  <w:style w:type="character" w:styleId="Hyperlink">
    <w:name w:val="Hyperlink"/>
    <w:basedOn w:val="DefaultParagraphFont"/>
    <w:uiPriority w:val="99"/>
    <w:unhideWhenUsed/>
    <w:rsid w:val="00E90792"/>
    <w:rPr>
      <w:color w:val="0563C1" w:themeColor="hyperlink"/>
      <w:u w:val="single"/>
    </w:rPr>
  </w:style>
  <w:style w:type="character" w:styleId="UnresolvedMention">
    <w:name w:val="Unresolved Mention"/>
    <w:basedOn w:val="DefaultParagraphFont"/>
    <w:uiPriority w:val="99"/>
    <w:semiHidden/>
    <w:unhideWhenUsed/>
    <w:rsid w:val="00E90792"/>
    <w:rPr>
      <w:color w:val="605E5C"/>
      <w:shd w:val="clear" w:color="auto" w:fill="E1DFDD"/>
    </w:rPr>
  </w:style>
  <w:style w:type="paragraph" w:styleId="Revision">
    <w:name w:val="Revision"/>
    <w:hidden/>
    <w:uiPriority w:val="99"/>
    <w:semiHidden/>
    <w:rsid w:val="00E666C0"/>
    <w:pPr>
      <w:spacing w:after="0" w:line="240" w:lineRule="auto"/>
    </w:pPr>
  </w:style>
  <w:style w:type="character" w:styleId="FollowedHyperlink">
    <w:name w:val="FollowedHyperlink"/>
    <w:basedOn w:val="DefaultParagraphFont"/>
    <w:uiPriority w:val="99"/>
    <w:semiHidden/>
    <w:unhideWhenUsed/>
    <w:rsid w:val="00AC7E68"/>
    <w:rPr>
      <w:color w:val="954F72" w:themeColor="followedHyperlink"/>
      <w:u w:val="single"/>
    </w:rPr>
  </w:style>
  <w:style w:type="character" w:customStyle="1" w:styleId="ui-provider">
    <w:name w:val="ui-provider"/>
    <w:basedOn w:val="DefaultParagraphFont"/>
    <w:rsid w:val="008717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5954">
      <w:bodyDiv w:val="1"/>
      <w:marLeft w:val="0"/>
      <w:marRight w:val="0"/>
      <w:marTop w:val="0"/>
      <w:marBottom w:val="0"/>
      <w:divBdr>
        <w:top w:val="none" w:sz="0" w:space="0" w:color="auto"/>
        <w:left w:val="none" w:sz="0" w:space="0" w:color="auto"/>
        <w:bottom w:val="none" w:sz="0" w:space="0" w:color="auto"/>
        <w:right w:val="none" w:sz="0" w:space="0" w:color="auto"/>
      </w:divBdr>
    </w:div>
    <w:div w:id="146289772">
      <w:bodyDiv w:val="1"/>
      <w:marLeft w:val="0"/>
      <w:marRight w:val="0"/>
      <w:marTop w:val="0"/>
      <w:marBottom w:val="0"/>
      <w:divBdr>
        <w:top w:val="none" w:sz="0" w:space="0" w:color="auto"/>
        <w:left w:val="none" w:sz="0" w:space="0" w:color="auto"/>
        <w:bottom w:val="none" w:sz="0" w:space="0" w:color="auto"/>
        <w:right w:val="none" w:sz="0" w:space="0" w:color="auto"/>
      </w:divBdr>
      <w:divsChild>
        <w:div w:id="1811439164">
          <w:marLeft w:val="0"/>
          <w:marRight w:val="0"/>
          <w:marTop w:val="0"/>
          <w:marBottom w:val="0"/>
          <w:divBdr>
            <w:top w:val="none" w:sz="0" w:space="0" w:color="auto"/>
            <w:left w:val="none" w:sz="0" w:space="0" w:color="auto"/>
            <w:bottom w:val="none" w:sz="0" w:space="0" w:color="auto"/>
            <w:right w:val="none" w:sz="0" w:space="0" w:color="auto"/>
          </w:divBdr>
        </w:div>
        <w:div w:id="1492520606">
          <w:marLeft w:val="0"/>
          <w:marRight w:val="0"/>
          <w:marTop w:val="0"/>
          <w:marBottom w:val="0"/>
          <w:divBdr>
            <w:top w:val="none" w:sz="0" w:space="0" w:color="auto"/>
            <w:left w:val="none" w:sz="0" w:space="0" w:color="auto"/>
            <w:bottom w:val="none" w:sz="0" w:space="0" w:color="auto"/>
            <w:right w:val="none" w:sz="0" w:space="0" w:color="auto"/>
          </w:divBdr>
        </w:div>
        <w:div w:id="1247033575">
          <w:marLeft w:val="0"/>
          <w:marRight w:val="0"/>
          <w:marTop w:val="0"/>
          <w:marBottom w:val="0"/>
          <w:divBdr>
            <w:top w:val="none" w:sz="0" w:space="0" w:color="auto"/>
            <w:left w:val="none" w:sz="0" w:space="0" w:color="auto"/>
            <w:bottom w:val="none" w:sz="0" w:space="0" w:color="auto"/>
            <w:right w:val="none" w:sz="0" w:space="0" w:color="auto"/>
          </w:divBdr>
        </w:div>
      </w:divsChild>
    </w:div>
    <w:div w:id="413476650">
      <w:bodyDiv w:val="1"/>
      <w:marLeft w:val="0"/>
      <w:marRight w:val="0"/>
      <w:marTop w:val="0"/>
      <w:marBottom w:val="0"/>
      <w:divBdr>
        <w:top w:val="none" w:sz="0" w:space="0" w:color="auto"/>
        <w:left w:val="none" w:sz="0" w:space="0" w:color="auto"/>
        <w:bottom w:val="none" w:sz="0" w:space="0" w:color="auto"/>
        <w:right w:val="none" w:sz="0" w:space="0" w:color="auto"/>
      </w:divBdr>
    </w:div>
    <w:div w:id="866525454">
      <w:bodyDiv w:val="1"/>
      <w:marLeft w:val="0"/>
      <w:marRight w:val="0"/>
      <w:marTop w:val="0"/>
      <w:marBottom w:val="0"/>
      <w:divBdr>
        <w:top w:val="none" w:sz="0" w:space="0" w:color="auto"/>
        <w:left w:val="none" w:sz="0" w:space="0" w:color="auto"/>
        <w:bottom w:val="none" w:sz="0" w:space="0" w:color="auto"/>
        <w:right w:val="none" w:sz="0" w:space="0" w:color="auto"/>
      </w:divBdr>
      <w:divsChild>
        <w:div w:id="931665228">
          <w:marLeft w:val="0"/>
          <w:marRight w:val="0"/>
          <w:marTop w:val="0"/>
          <w:marBottom w:val="0"/>
          <w:divBdr>
            <w:top w:val="none" w:sz="0" w:space="0" w:color="auto"/>
            <w:left w:val="none" w:sz="0" w:space="0" w:color="auto"/>
            <w:bottom w:val="none" w:sz="0" w:space="0" w:color="auto"/>
            <w:right w:val="none" w:sz="0" w:space="0" w:color="auto"/>
          </w:divBdr>
        </w:div>
        <w:div w:id="595098425">
          <w:marLeft w:val="0"/>
          <w:marRight w:val="0"/>
          <w:marTop w:val="0"/>
          <w:marBottom w:val="0"/>
          <w:divBdr>
            <w:top w:val="none" w:sz="0" w:space="0" w:color="auto"/>
            <w:left w:val="none" w:sz="0" w:space="0" w:color="auto"/>
            <w:bottom w:val="none" w:sz="0" w:space="0" w:color="auto"/>
            <w:right w:val="none" w:sz="0" w:space="0" w:color="auto"/>
          </w:divBdr>
        </w:div>
        <w:div w:id="1722363168">
          <w:marLeft w:val="0"/>
          <w:marRight w:val="0"/>
          <w:marTop w:val="0"/>
          <w:marBottom w:val="0"/>
          <w:divBdr>
            <w:top w:val="none" w:sz="0" w:space="0" w:color="auto"/>
            <w:left w:val="none" w:sz="0" w:space="0" w:color="auto"/>
            <w:bottom w:val="none" w:sz="0" w:space="0" w:color="auto"/>
            <w:right w:val="none" w:sz="0" w:space="0" w:color="auto"/>
          </w:divBdr>
        </w:div>
      </w:divsChild>
    </w:div>
    <w:div w:id="979725147">
      <w:bodyDiv w:val="1"/>
      <w:marLeft w:val="0"/>
      <w:marRight w:val="0"/>
      <w:marTop w:val="0"/>
      <w:marBottom w:val="0"/>
      <w:divBdr>
        <w:top w:val="none" w:sz="0" w:space="0" w:color="auto"/>
        <w:left w:val="none" w:sz="0" w:space="0" w:color="auto"/>
        <w:bottom w:val="none" w:sz="0" w:space="0" w:color="auto"/>
        <w:right w:val="none" w:sz="0" w:space="0" w:color="auto"/>
      </w:divBdr>
    </w:div>
    <w:div w:id="1037584602">
      <w:bodyDiv w:val="1"/>
      <w:marLeft w:val="0"/>
      <w:marRight w:val="0"/>
      <w:marTop w:val="0"/>
      <w:marBottom w:val="0"/>
      <w:divBdr>
        <w:top w:val="none" w:sz="0" w:space="0" w:color="auto"/>
        <w:left w:val="none" w:sz="0" w:space="0" w:color="auto"/>
        <w:bottom w:val="none" w:sz="0" w:space="0" w:color="auto"/>
        <w:right w:val="none" w:sz="0" w:space="0" w:color="auto"/>
      </w:divBdr>
    </w:div>
    <w:div w:id="1086731133">
      <w:bodyDiv w:val="1"/>
      <w:marLeft w:val="0"/>
      <w:marRight w:val="0"/>
      <w:marTop w:val="0"/>
      <w:marBottom w:val="0"/>
      <w:divBdr>
        <w:top w:val="none" w:sz="0" w:space="0" w:color="auto"/>
        <w:left w:val="none" w:sz="0" w:space="0" w:color="auto"/>
        <w:bottom w:val="none" w:sz="0" w:space="0" w:color="auto"/>
        <w:right w:val="none" w:sz="0" w:space="0" w:color="auto"/>
      </w:divBdr>
    </w:div>
    <w:div w:id="1156990419">
      <w:bodyDiv w:val="1"/>
      <w:marLeft w:val="0"/>
      <w:marRight w:val="0"/>
      <w:marTop w:val="0"/>
      <w:marBottom w:val="0"/>
      <w:divBdr>
        <w:top w:val="none" w:sz="0" w:space="0" w:color="auto"/>
        <w:left w:val="none" w:sz="0" w:space="0" w:color="auto"/>
        <w:bottom w:val="none" w:sz="0" w:space="0" w:color="auto"/>
        <w:right w:val="none" w:sz="0" w:space="0" w:color="auto"/>
      </w:divBdr>
    </w:div>
    <w:div w:id="1487283570">
      <w:bodyDiv w:val="1"/>
      <w:marLeft w:val="0"/>
      <w:marRight w:val="0"/>
      <w:marTop w:val="0"/>
      <w:marBottom w:val="0"/>
      <w:divBdr>
        <w:top w:val="none" w:sz="0" w:space="0" w:color="auto"/>
        <w:left w:val="none" w:sz="0" w:space="0" w:color="auto"/>
        <w:bottom w:val="none" w:sz="0" w:space="0" w:color="auto"/>
        <w:right w:val="none" w:sz="0" w:space="0" w:color="auto"/>
      </w:divBdr>
    </w:div>
    <w:div w:id="1559122980">
      <w:bodyDiv w:val="1"/>
      <w:marLeft w:val="0"/>
      <w:marRight w:val="0"/>
      <w:marTop w:val="0"/>
      <w:marBottom w:val="0"/>
      <w:divBdr>
        <w:top w:val="none" w:sz="0" w:space="0" w:color="auto"/>
        <w:left w:val="none" w:sz="0" w:space="0" w:color="auto"/>
        <w:bottom w:val="none" w:sz="0" w:space="0" w:color="auto"/>
        <w:right w:val="none" w:sz="0" w:space="0" w:color="auto"/>
      </w:divBdr>
    </w:div>
    <w:div w:id="1670132928">
      <w:bodyDiv w:val="1"/>
      <w:marLeft w:val="0"/>
      <w:marRight w:val="0"/>
      <w:marTop w:val="0"/>
      <w:marBottom w:val="0"/>
      <w:divBdr>
        <w:top w:val="none" w:sz="0" w:space="0" w:color="auto"/>
        <w:left w:val="none" w:sz="0" w:space="0" w:color="auto"/>
        <w:bottom w:val="none" w:sz="0" w:space="0" w:color="auto"/>
        <w:right w:val="none" w:sz="0" w:space="0" w:color="auto"/>
      </w:divBdr>
    </w:div>
    <w:div w:id="1700887415">
      <w:bodyDiv w:val="1"/>
      <w:marLeft w:val="0"/>
      <w:marRight w:val="0"/>
      <w:marTop w:val="0"/>
      <w:marBottom w:val="0"/>
      <w:divBdr>
        <w:top w:val="none" w:sz="0" w:space="0" w:color="auto"/>
        <w:left w:val="none" w:sz="0" w:space="0" w:color="auto"/>
        <w:bottom w:val="none" w:sz="0" w:space="0" w:color="auto"/>
        <w:right w:val="none" w:sz="0" w:space="0" w:color="auto"/>
      </w:divBdr>
    </w:div>
    <w:div w:id="1906837143">
      <w:bodyDiv w:val="1"/>
      <w:marLeft w:val="0"/>
      <w:marRight w:val="0"/>
      <w:marTop w:val="0"/>
      <w:marBottom w:val="0"/>
      <w:divBdr>
        <w:top w:val="none" w:sz="0" w:space="0" w:color="auto"/>
        <w:left w:val="none" w:sz="0" w:space="0" w:color="auto"/>
        <w:bottom w:val="none" w:sz="0" w:space="0" w:color="auto"/>
        <w:right w:val="none" w:sz="0" w:space="0" w:color="auto"/>
      </w:divBdr>
    </w:div>
    <w:div w:id="1941719247">
      <w:bodyDiv w:val="1"/>
      <w:marLeft w:val="0"/>
      <w:marRight w:val="0"/>
      <w:marTop w:val="0"/>
      <w:marBottom w:val="0"/>
      <w:divBdr>
        <w:top w:val="none" w:sz="0" w:space="0" w:color="auto"/>
        <w:left w:val="none" w:sz="0" w:space="0" w:color="auto"/>
        <w:bottom w:val="none" w:sz="0" w:space="0" w:color="auto"/>
        <w:right w:val="none" w:sz="0" w:space="0" w:color="auto"/>
      </w:divBdr>
    </w:div>
    <w:div w:id="213687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ender-pay-gap-reporting-guidance-for-employers/making-your-calculation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gender-pay-gap.service.gov.uk/" TargetMode="External"/><Relationship Id="rId1" Type="http://schemas.openxmlformats.org/officeDocument/2006/relationships/hyperlink" Target="https://www.ons.gov.uk/employmentandlabourmarket/peopleinwork/earningsandworkinghours/bulletins/genderpaygapintheuk/202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ennyc\Downloads\Penny%20Data%20Gender%20in%20past%20year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kern="1200" spc="0" baseline="0">
                <a:solidFill>
                  <a:sysClr val="windowText" lastClr="000000">
                    <a:lumMod val="65000"/>
                    <a:lumOff val="35000"/>
                  </a:sysClr>
                </a:solidFill>
                <a:latin typeface="+mn-lt"/>
                <a:ea typeface="+mn-ea"/>
                <a:cs typeface="+mn-cs"/>
              </a:rPr>
              <a:t>Percentage of Women and </a:t>
            </a:r>
            <a:r>
              <a:rPr lang="en-US" sz="1200"/>
              <a:t>Men</a:t>
            </a:r>
            <a:r>
              <a:rPr lang="en-US" sz="1200" baseline="0"/>
              <a:t> at April Each Year</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Sheet1!$B$10</c:f>
              <c:strCache>
                <c:ptCount val="1"/>
                <c:pt idx="0">
                  <c:v>Women</c:v>
                </c:pt>
              </c:strCache>
            </c:strRef>
          </c:tx>
          <c:spPr>
            <a:solidFill>
              <a:schemeClr val="accent1"/>
            </a:solidFill>
            <a:ln>
              <a:noFill/>
            </a:ln>
            <a:effectLst/>
          </c:spPr>
          <c:invertIfNegative val="0"/>
          <c:dLbls>
            <c:dLbl>
              <c:idx val="0"/>
              <c:tx>
                <c:rich>
                  <a:bodyPr/>
                  <a:lstStyle/>
                  <a:p>
                    <a:r>
                      <a:rPr lang="en-US"/>
                      <a:t>69%</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0CA3-476A-A384-D8A30188BAA8}"/>
                </c:ext>
              </c:extLst>
            </c:dLbl>
            <c:dLbl>
              <c:idx val="1"/>
              <c:tx>
                <c:rich>
                  <a:bodyPr/>
                  <a:lstStyle/>
                  <a:p>
                    <a:r>
                      <a:rPr lang="en-US"/>
                      <a:t>70%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CA3-476A-A384-D8A30188BAA8}"/>
                </c:ext>
              </c:extLst>
            </c:dLbl>
            <c:dLbl>
              <c:idx val="2"/>
              <c:tx>
                <c:rich>
                  <a:bodyPr/>
                  <a:lstStyle/>
                  <a:p>
                    <a:r>
                      <a:rPr lang="en-US"/>
                      <a:t>72%</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CA3-476A-A384-D8A30188BAA8}"/>
                </c:ext>
              </c:extLst>
            </c:dLbl>
            <c:dLbl>
              <c:idx val="3"/>
              <c:tx>
                <c:rich>
                  <a:bodyPr/>
                  <a:lstStyle/>
                  <a:p>
                    <a:r>
                      <a:rPr lang="en-US"/>
                      <a:t>75%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CA3-476A-A384-D8A30188BA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Sheet1!$A$11:$A$14</c:f>
              <c:numCache>
                <c:formatCode>mmm\-yy</c:formatCode>
                <c:ptCount val="4"/>
                <c:pt idx="0">
                  <c:v>45017</c:v>
                </c:pt>
                <c:pt idx="1">
                  <c:v>44652</c:v>
                </c:pt>
                <c:pt idx="2">
                  <c:v>44287</c:v>
                </c:pt>
                <c:pt idx="3">
                  <c:v>43922</c:v>
                </c:pt>
              </c:numCache>
            </c:numRef>
          </c:cat>
          <c:val>
            <c:numRef>
              <c:f>Sheet1!$B$11:$B$14</c:f>
              <c:numCache>
                <c:formatCode>0%</c:formatCode>
                <c:ptCount val="4"/>
                <c:pt idx="0">
                  <c:v>0.72052401746724892</c:v>
                </c:pt>
                <c:pt idx="1">
                  <c:v>0.69886363636363635</c:v>
                </c:pt>
                <c:pt idx="2">
                  <c:v>0.68888888888888888</c:v>
                </c:pt>
                <c:pt idx="3">
                  <c:v>0.68067226890756305</c:v>
                </c:pt>
              </c:numCache>
            </c:numRef>
          </c:val>
          <c:extLst>
            <c:ext xmlns:c16="http://schemas.microsoft.com/office/drawing/2014/chart" uri="{C3380CC4-5D6E-409C-BE32-E72D297353CC}">
              <c16:uniqueId val="{00000000-0CA3-476A-A384-D8A30188BAA8}"/>
            </c:ext>
          </c:extLst>
        </c:ser>
        <c:ser>
          <c:idx val="1"/>
          <c:order val="1"/>
          <c:tx>
            <c:strRef>
              <c:f>Sheet1!$C$10</c:f>
              <c:strCache>
                <c:ptCount val="1"/>
                <c:pt idx="0">
                  <c:v>Men</c:v>
                </c:pt>
              </c:strCache>
            </c:strRef>
          </c:tx>
          <c:spPr>
            <a:solidFill>
              <a:schemeClr val="accent2"/>
            </a:solidFill>
            <a:ln>
              <a:noFill/>
            </a:ln>
            <a:effectLst/>
          </c:spPr>
          <c:invertIfNegative val="0"/>
          <c:dLbls>
            <c:dLbl>
              <c:idx val="0"/>
              <c:tx>
                <c:rich>
                  <a:bodyPr/>
                  <a:lstStyle/>
                  <a:p>
                    <a:r>
                      <a:rPr lang="en-US"/>
                      <a:t>31%</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0CA3-476A-A384-D8A30188BAA8}"/>
                </c:ext>
              </c:extLst>
            </c:dLbl>
            <c:dLbl>
              <c:idx val="1"/>
              <c:tx>
                <c:rich>
                  <a:bodyPr/>
                  <a:lstStyle/>
                  <a:p>
                    <a:r>
                      <a:rPr lang="en-US"/>
                      <a:t>30%</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0CA3-476A-A384-D8A30188BAA8}"/>
                </c:ext>
              </c:extLst>
            </c:dLbl>
            <c:dLbl>
              <c:idx val="2"/>
              <c:tx>
                <c:rich>
                  <a:bodyPr/>
                  <a:lstStyle/>
                  <a:p>
                    <a:r>
                      <a:rPr lang="en-US"/>
                      <a:t>28%</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CA3-476A-A384-D8A30188BAA8}"/>
                </c:ext>
              </c:extLst>
            </c:dLbl>
            <c:dLbl>
              <c:idx val="3"/>
              <c:tx>
                <c:rich>
                  <a:bodyPr/>
                  <a:lstStyle/>
                  <a:p>
                    <a:r>
                      <a:rPr lang="en-US"/>
                      <a:t>25%</a:t>
                    </a:r>
                  </a:p>
                </c:rich>
              </c:tx>
              <c:dLblPos val="ct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CA3-476A-A384-D8A30188BA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Sheet1!$A$11:$A$14</c:f>
              <c:numCache>
                <c:formatCode>mmm\-yy</c:formatCode>
                <c:ptCount val="4"/>
                <c:pt idx="0">
                  <c:v>45017</c:v>
                </c:pt>
                <c:pt idx="1">
                  <c:v>44652</c:v>
                </c:pt>
                <c:pt idx="2">
                  <c:v>44287</c:v>
                </c:pt>
                <c:pt idx="3">
                  <c:v>43922</c:v>
                </c:pt>
              </c:numCache>
            </c:numRef>
          </c:cat>
          <c:val>
            <c:numRef>
              <c:f>Sheet1!$C$11:$C$14</c:f>
              <c:numCache>
                <c:formatCode>0%</c:formatCode>
                <c:ptCount val="4"/>
                <c:pt idx="0">
                  <c:v>0.27947598253275108</c:v>
                </c:pt>
                <c:pt idx="1">
                  <c:v>0.30113636363636365</c:v>
                </c:pt>
                <c:pt idx="2">
                  <c:v>0.31111111111111112</c:v>
                </c:pt>
                <c:pt idx="3">
                  <c:v>0.31932773109243695</c:v>
                </c:pt>
              </c:numCache>
            </c:numRef>
          </c:val>
          <c:extLst>
            <c:ext xmlns:c16="http://schemas.microsoft.com/office/drawing/2014/chart" uri="{C3380CC4-5D6E-409C-BE32-E72D297353CC}">
              <c16:uniqueId val="{00000001-0CA3-476A-A384-D8A30188BAA8}"/>
            </c:ext>
          </c:extLst>
        </c:ser>
        <c:dLbls>
          <c:dLblPos val="ctr"/>
          <c:showLegendKey val="0"/>
          <c:showVal val="1"/>
          <c:showCatName val="0"/>
          <c:showSerName val="0"/>
          <c:showPercent val="0"/>
          <c:showBubbleSize val="0"/>
        </c:dLbls>
        <c:gapWidth val="150"/>
        <c:overlap val="100"/>
        <c:axId val="1172933472"/>
        <c:axId val="1172932512"/>
      </c:barChart>
      <c:dateAx>
        <c:axId val="1172933472"/>
        <c:scaling>
          <c:orientation val="minMax"/>
        </c:scaling>
        <c:delete val="1"/>
        <c:axPos val="b"/>
        <c:numFmt formatCode="mmm\-yy" sourceLinked="1"/>
        <c:majorTickMark val="out"/>
        <c:minorTickMark val="none"/>
        <c:tickLblPos val="nextTo"/>
        <c:crossAx val="1172932512"/>
        <c:crosses val="autoZero"/>
        <c:auto val="1"/>
        <c:lblOffset val="100"/>
        <c:baseTimeUnit val="years"/>
      </c:dateAx>
      <c:valAx>
        <c:axId val="1172932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2933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0.14818</cdr:x>
      <cdr:y>0.83525</cdr:y>
    </cdr:from>
    <cdr:to>
      <cdr:x>0.23761</cdr:x>
      <cdr:y>0.90547</cdr:y>
    </cdr:to>
    <cdr:sp macro="" textlink="">
      <cdr:nvSpPr>
        <cdr:cNvPr id="3" name="TextBox 1"/>
        <cdr:cNvSpPr txBox="1"/>
      </cdr:nvSpPr>
      <cdr:spPr>
        <a:xfrm xmlns:a="http://schemas.openxmlformats.org/drawingml/2006/main">
          <a:off x="880694" y="2436045"/>
          <a:ext cx="531588" cy="20479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u-HU" sz="1000" b="0" i="0" u="none" strike="noStrike" kern="1200" spc="0" baseline="0">
              <a:solidFill>
                <a:sysClr val="windowText" lastClr="000000">
                  <a:lumMod val="65000"/>
                  <a:lumOff val="35000"/>
                </a:sysClr>
              </a:solidFill>
              <a:latin typeface="+mn-lt"/>
              <a:ea typeface="+mn-ea"/>
              <a:cs typeface="+mn-cs"/>
            </a:rPr>
            <a:t>2021</a:t>
          </a:r>
          <a:endParaRPr lang="en-US" sz="1000" b="0" i="0" u="none" strike="noStrike" kern="1200" spc="0" baseline="0">
            <a:solidFill>
              <a:sysClr val="windowText" lastClr="000000">
                <a:lumMod val="65000"/>
                <a:lumOff val="35000"/>
              </a:sysClr>
            </a:solidFill>
            <a:latin typeface="+mn-lt"/>
            <a:ea typeface="+mn-ea"/>
            <a:cs typeface="+mn-cs"/>
          </a:endParaRPr>
        </a:p>
      </cdr:txBody>
    </cdr:sp>
  </cdr:relSizeAnchor>
  <cdr:relSizeAnchor xmlns:cdr="http://schemas.openxmlformats.org/drawingml/2006/chartDrawing">
    <cdr:from>
      <cdr:x>0.82916</cdr:x>
      <cdr:y>0.83281</cdr:y>
    </cdr:from>
    <cdr:to>
      <cdr:x>0.91963</cdr:x>
      <cdr:y>0.9214</cdr:y>
    </cdr:to>
    <cdr:sp macro="" textlink="">
      <cdr:nvSpPr>
        <cdr:cNvPr id="4" name="TextBox 1"/>
        <cdr:cNvSpPr txBox="1"/>
      </cdr:nvSpPr>
      <cdr:spPr>
        <a:xfrm xmlns:a="http://schemas.openxmlformats.org/drawingml/2006/main">
          <a:off x="4928170" y="2428922"/>
          <a:ext cx="537759" cy="25839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0" i="0" u="none" strike="noStrike" kern="1200" spc="0" baseline="0">
              <a:solidFill>
                <a:sysClr val="windowText" lastClr="000000">
                  <a:lumMod val="65000"/>
                  <a:lumOff val="35000"/>
                </a:sysClr>
              </a:solidFill>
              <a:latin typeface="+mn-lt"/>
              <a:ea typeface="+mn-ea"/>
              <a:cs typeface="+mn-cs"/>
            </a:rPr>
            <a:t>202</a:t>
          </a:r>
          <a:r>
            <a:rPr lang="hu-HU" sz="1000" b="0" i="0" u="none" strike="noStrike" kern="1200" spc="0" baseline="0">
              <a:solidFill>
                <a:sysClr val="windowText" lastClr="000000">
                  <a:lumMod val="65000"/>
                  <a:lumOff val="35000"/>
                </a:sysClr>
              </a:solidFill>
              <a:latin typeface="+mn-lt"/>
              <a:ea typeface="+mn-ea"/>
              <a:cs typeface="+mn-cs"/>
            </a:rPr>
            <a:t>4</a:t>
          </a:r>
          <a:endParaRPr lang="en-US" sz="1000" b="0" i="0" u="none" strike="noStrike" kern="1200" spc="0" baseline="0">
            <a:solidFill>
              <a:sysClr val="windowText" lastClr="000000">
                <a:lumMod val="65000"/>
                <a:lumOff val="35000"/>
              </a:sysClr>
            </a:solidFill>
            <a:latin typeface="+mn-lt"/>
            <a:ea typeface="+mn-ea"/>
            <a:cs typeface="+mn-cs"/>
          </a:endParaRPr>
        </a:p>
      </cdr:txBody>
    </cdr:sp>
  </cdr:relSizeAnchor>
  <cdr:relSizeAnchor xmlns:cdr="http://schemas.openxmlformats.org/drawingml/2006/chartDrawing">
    <cdr:from>
      <cdr:x>0.59931</cdr:x>
      <cdr:y>0.83628</cdr:y>
    </cdr:from>
    <cdr:to>
      <cdr:x>0.68197</cdr:x>
      <cdr:y>0.92487</cdr:y>
    </cdr:to>
    <cdr:sp macro="" textlink="">
      <cdr:nvSpPr>
        <cdr:cNvPr id="5" name="TextBox 1"/>
        <cdr:cNvSpPr txBox="1"/>
      </cdr:nvSpPr>
      <cdr:spPr>
        <a:xfrm xmlns:a="http://schemas.openxmlformats.org/drawingml/2006/main">
          <a:off x="3562070" y="2439046"/>
          <a:ext cx="491315" cy="25839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0" i="0" u="none" strike="noStrike" kern="1200" spc="0" baseline="0">
              <a:solidFill>
                <a:sysClr val="windowText" lastClr="000000">
                  <a:lumMod val="65000"/>
                  <a:lumOff val="35000"/>
                </a:sysClr>
              </a:solidFill>
              <a:latin typeface="+mn-lt"/>
              <a:ea typeface="+mn-ea"/>
              <a:cs typeface="+mn-cs"/>
            </a:rPr>
            <a:t>202</a:t>
          </a:r>
          <a:r>
            <a:rPr lang="hu-HU" sz="1000" b="0" i="0" u="none" strike="noStrike" kern="1200" spc="0" baseline="0">
              <a:solidFill>
                <a:sysClr val="windowText" lastClr="000000">
                  <a:lumMod val="65000"/>
                  <a:lumOff val="35000"/>
                </a:sysClr>
              </a:solidFill>
              <a:latin typeface="+mn-lt"/>
              <a:ea typeface="+mn-ea"/>
              <a:cs typeface="+mn-cs"/>
            </a:rPr>
            <a:t>3</a:t>
          </a:r>
          <a:endParaRPr lang="en-US" sz="1000" b="0" i="0" u="none" strike="noStrike" kern="1200" spc="0" baseline="0">
            <a:solidFill>
              <a:sysClr val="windowText" lastClr="000000">
                <a:lumMod val="65000"/>
                <a:lumOff val="35000"/>
              </a:sysClr>
            </a:solidFill>
            <a:latin typeface="+mn-lt"/>
            <a:ea typeface="+mn-ea"/>
            <a:cs typeface="+mn-cs"/>
          </a:endParaRPr>
        </a:p>
      </cdr:txBody>
    </cdr:sp>
  </cdr:relSizeAnchor>
  <cdr:relSizeAnchor xmlns:cdr="http://schemas.openxmlformats.org/drawingml/2006/chartDrawing">
    <cdr:from>
      <cdr:x>0.37361</cdr:x>
      <cdr:y>0.83628</cdr:y>
    </cdr:from>
    <cdr:to>
      <cdr:x>0.4558</cdr:x>
      <cdr:y>0.92487</cdr:y>
    </cdr:to>
    <cdr:sp macro="" textlink="">
      <cdr:nvSpPr>
        <cdr:cNvPr id="9" name="TextBox 1"/>
        <cdr:cNvSpPr txBox="1"/>
      </cdr:nvSpPr>
      <cdr:spPr>
        <a:xfrm xmlns:a="http://schemas.openxmlformats.org/drawingml/2006/main">
          <a:off x="2220613" y="2439047"/>
          <a:ext cx="488469" cy="25839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0" i="0" u="none" strike="noStrike" kern="1200" spc="0" baseline="0">
              <a:solidFill>
                <a:sysClr val="windowText" lastClr="000000">
                  <a:lumMod val="65000"/>
                  <a:lumOff val="35000"/>
                </a:sysClr>
              </a:solidFill>
              <a:latin typeface="+mn-lt"/>
              <a:ea typeface="+mn-ea"/>
              <a:cs typeface="+mn-cs"/>
            </a:rPr>
            <a:t>202</a:t>
          </a:r>
          <a:r>
            <a:rPr lang="hu-HU" sz="1000" b="0" i="0" u="none" strike="noStrike" kern="1200" spc="0" baseline="0">
              <a:solidFill>
                <a:sysClr val="windowText" lastClr="000000">
                  <a:lumMod val="65000"/>
                  <a:lumOff val="35000"/>
                </a:sysClr>
              </a:solidFill>
              <a:latin typeface="+mn-lt"/>
              <a:ea typeface="+mn-ea"/>
              <a:cs typeface="+mn-cs"/>
            </a:rPr>
            <a:t>2</a:t>
          </a:r>
          <a:endParaRPr lang="en-US" sz="1000" b="0" i="0" u="none" strike="noStrike" kern="1200" spc="0" baseline="0">
            <a:solidFill>
              <a:sysClr val="windowText" lastClr="000000">
                <a:lumMod val="65000"/>
                <a:lumOff val="35000"/>
              </a:sysClr>
            </a:solidFill>
            <a:latin typeface="+mn-lt"/>
            <a:ea typeface="+mn-ea"/>
            <a:cs typeface="+mn-cs"/>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27F84-AEF8-4C36-886C-6C173C3BE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878</Words>
  <Characters>4250</Characters>
  <Application>Microsoft Office Word</Application>
  <DocSecurity>0</DocSecurity>
  <Lines>118</Lines>
  <Paragraphs>63</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Sigrun Danielsson</dc:creator>
  <cp:keywords/>
  <dc:description/>
  <cp:lastModifiedBy>Zsuzsanna Kaszap</cp:lastModifiedBy>
  <cp:revision>5</cp:revision>
  <cp:lastPrinted>2018-02-22T13:28:00Z</cp:lastPrinted>
  <dcterms:created xsi:type="dcterms:W3CDTF">2025-03-27T12:16:00Z</dcterms:created>
  <dcterms:modified xsi:type="dcterms:W3CDTF">2025-03-31T13:45:00Z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e7c80864d04ebae60f508c363fed8f8c9aa61c808f9f95f12c31276f1cf1ac13</vt:lpwstr>
  </property>
</Properties>
</file>